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507DD" w14:textId="77777777" w:rsidR="00A96B0C" w:rsidRDefault="00A96B0C">
      <w:pPr>
        <w:rPr>
          <w:sz w:val="24"/>
        </w:rPr>
      </w:pPr>
      <w:r>
        <w:rPr>
          <w:sz w:val="24"/>
        </w:rPr>
        <w:t>David Blake</w:t>
      </w:r>
    </w:p>
    <w:p w14:paraId="795B7C4D" w14:textId="77777777" w:rsidR="00A96B0C" w:rsidRDefault="00A96B0C">
      <w:pPr>
        <w:rPr>
          <w:sz w:val="24"/>
        </w:rPr>
      </w:pPr>
      <w:r>
        <w:rPr>
          <w:sz w:val="24"/>
        </w:rPr>
        <w:t>Fall 20</w:t>
      </w:r>
      <w:r w:rsidR="007942F5">
        <w:rPr>
          <w:sz w:val="24"/>
        </w:rPr>
        <w:t>1</w:t>
      </w:r>
      <w:r w:rsidR="00D272E6">
        <w:rPr>
          <w:sz w:val="24"/>
        </w:rPr>
        <w:t>5</w:t>
      </w:r>
    </w:p>
    <w:p w14:paraId="45BCA011" w14:textId="77777777" w:rsidR="00A96B0C" w:rsidRDefault="00A96B0C">
      <w:pPr>
        <w:rPr>
          <w:sz w:val="24"/>
        </w:rPr>
      </w:pPr>
      <w:r>
        <w:rPr>
          <w:sz w:val="24"/>
        </w:rPr>
        <w:t>Bliss 226, ext. 3048</w:t>
      </w:r>
    </w:p>
    <w:p w14:paraId="70557D05" w14:textId="77777777" w:rsidR="00A96B0C" w:rsidRDefault="00A96B0C">
      <w:pPr>
        <w:rPr>
          <w:sz w:val="24"/>
        </w:rPr>
      </w:pPr>
      <w:r>
        <w:rPr>
          <w:sz w:val="24"/>
        </w:rPr>
        <w:t>blake@tcnj.edu</w:t>
      </w:r>
    </w:p>
    <w:p w14:paraId="1AAA28A6" w14:textId="36480265" w:rsidR="0041522A" w:rsidRPr="005708CF" w:rsidRDefault="00A80738">
      <w:pPr>
        <w:rPr>
          <w:sz w:val="24"/>
        </w:rPr>
      </w:pPr>
      <w:r>
        <w:rPr>
          <w:sz w:val="24"/>
        </w:rPr>
        <w:t xml:space="preserve">OH: M 11:00-12:20, Th 3:30-5 </w:t>
      </w:r>
      <w:r w:rsidR="0041522A" w:rsidRPr="0041522A">
        <w:rPr>
          <w:i/>
          <w:sz w:val="24"/>
        </w:rPr>
        <w:t>and by appointment</w:t>
      </w:r>
    </w:p>
    <w:p w14:paraId="0CE6174A" w14:textId="77777777" w:rsidR="00A96B0C" w:rsidRDefault="00A96B0C">
      <w:pPr>
        <w:rPr>
          <w:sz w:val="24"/>
        </w:rPr>
      </w:pPr>
    </w:p>
    <w:p w14:paraId="72182116" w14:textId="77777777" w:rsidR="00A96B0C" w:rsidRDefault="00E76C61" w:rsidP="00E76C61">
      <w:pPr>
        <w:jc w:val="center"/>
        <w:rPr>
          <w:b/>
          <w:sz w:val="32"/>
        </w:rPr>
      </w:pPr>
      <w:r>
        <w:rPr>
          <w:b/>
          <w:sz w:val="32"/>
        </w:rPr>
        <w:t>LIT 376</w:t>
      </w:r>
      <w:r w:rsidR="00A96B0C">
        <w:rPr>
          <w:b/>
          <w:sz w:val="32"/>
        </w:rPr>
        <w:t xml:space="preserve">: </w:t>
      </w:r>
      <w:r>
        <w:rPr>
          <w:b/>
          <w:sz w:val="32"/>
        </w:rPr>
        <w:t>United States Literature, 1900-present</w:t>
      </w:r>
    </w:p>
    <w:p w14:paraId="22BA3378" w14:textId="77777777" w:rsidR="00A96B0C" w:rsidRDefault="00A96B0C">
      <w:pPr>
        <w:rPr>
          <w:b/>
          <w:sz w:val="24"/>
        </w:rPr>
      </w:pPr>
    </w:p>
    <w:p w14:paraId="4CAEDAB6" w14:textId="291D5482" w:rsidR="00B40AFF" w:rsidRPr="007359DB" w:rsidRDefault="00A96B0C" w:rsidP="00E76C61">
      <w:pPr>
        <w:rPr>
          <w:b/>
          <w:sz w:val="24"/>
        </w:rPr>
      </w:pPr>
      <w:r>
        <w:rPr>
          <w:b/>
          <w:sz w:val="24"/>
        </w:rPr>
        <w:t>Required Texts:</w:t>
      </w:r>
    </w:p>
    <w:p w14:paraId="6B0948AA" w14:textId="7F966A6B" w:rsidR="003F2E18" w:rsidRPr="00A4722F" w:rsidRDefault="003F2E18" w:rsidP="00E76C61">
      <w:pPr>
        <w:rPr>
          <w:sz w:val="24"/>
          <w:szCs w:val="24"/>
        </w:rPr>
      </w:pPr>
      <w:r>
        <w:rPr>
          <w:sz w:val="24"/>
        </w:rPr>
        <w:t xml:space="preserve">Alison Bechdel, </w:t>
      </w:r>
      <w:r w:rsidRPr="00AD6022">
        <w:rPr>
          <w:i/>
          <w:sz w:val="24"/>
          <w:szCs w:val="24"/>
        </w:rPr>
        <w:t>Fun Ho</w:t>
      </w:r>
      <w:r w:rsidR="00D00DAA">
        <w:rPr>
          <w:i/>
          <w:sz w:val="24"/>
          <w:szCs w:val="24"/>
        </w:rPr>
        <w:t>me</w:t>
      </w:r>
      <w:r w:rsidRPr="00AD6022">
        <w:rPr>
          <w:i/>
          <w:sz w:val="24"/>
          <w:szCs w:val="24"/>
        </w:rPr>
        <w:t>: A Family Tragicomic</w:t>
      </w:r>
      <w:r w:rsidR="00A4722F">
        <w:rPr>
          <w:sz w:val="24"/>
          <w:szCs w:val="24"/>
        </w:rPr>
        <w:t xml:space="preserve">, Mariner, </w:t>
      </w:r>
      <w:r w:rsidR="00A4722F" w:rsidRPr="00A4722F">
        <w:rPr>
          <w:sz w:val="24"/>
          <w:szCs w:val="24"/>
        </w:rPr>
        <w:t>978-0618871711</w:t>
      </w:r>
    </w:p>
    <w:p w14:paraId="5E3585B6" w14:textId="77777777" w:rsidR="00E76C61" w:rsidRDefault="00E76C61" w:rsidP="00E76C61">
      <w:pPr>
        <w:rPr>
          <w:sz w:val="24"/>
        </w:rPr>
      </w:pPr>
      <w:r w:rsidRPr="00E76C61">
        <w:rPr>
          <w:sz w:val="24"/>
        </w:rPr>
        <w:t>T</w:t>
      </w:r>
      <w:r w:rsidR="00A4722F">
        <w:rPr>
          <w:sz w:val="24"/>
        </w:rPr>
        <w:t>.</w:t>
      </w:r>
      <w:r w:rsidRPr="00E76C61">
        <w:rPr>
          <w:sz w:val="24"/>
        </w:rPr>
        <w:t>S</w:t>
      </w:r>
      <w:r w:rsidR="00A4722F">
        <w:rPr>
          <w:sz w:val="24"/>
        </w:rPr>
        <w:t>.</w:t>
      </w:r>
      <w:r w:rsidRPr="00E76C61">
        <w:rPr>
          <w:sz w:val="24"/>
        </w:rPr>
        <w:t xml:space="preserve"> Eliot, </w:t>
      </w:r>
      <w:r w:rsidRPr="00E76C61">
        <w:rPr>
          <w:i/>
          <w:sz w:val="24"/>
        </w:rPr>
        <w:t>The Wasteland</w:t>
      </w:r>
      <w:r w:rsidRPr="00E76C61">
        <w:rPr>
          <w:sz w:val="24"/>
        </w:rPr>
        <w:t xml:space="preserve">, Norton, </w:t>
      </w:r>
      <w:r w:rsidR="00A4722F">
        <w:rPr>
          <w:sz w:val="24"/>
        </w:rPr>
        <w:t>978-</w:t>
      </w:r>
      <w:r w:rsidRPr="00E76C61">
        <w:rPr>
          <w:sz w:val="24"/>
        </w:rPr>
        <w:t xml:space="preserve">0393974995 </w:t>
      </w:r>
    </w:p>
    <w:p w14:paraId="46577CF2" w14:textId="77777777" w:rsidR="00667BDA" w:rsidRDefault="00667BDA" w:rsidP="00E76C61">
      <w:pPr>
        <w:rPr>
          <w:sz w:val="24"/>
        </w:rPr>
      </w:pPr>
      <w:r w:rsidRPr="00E76C61">
        <w:rPr>
          <w:sz w:val="24"/>
        </w:rPr>
        <w:t xml:space="preserve">Ralph Ellison, </w:t>
      </w:r>
      <w:r w:rsidRPr="00E76C61">
        <w:rPr>
          <w:i/>
          <w:sz w:val="24"/>
        </w:rPr>
        <w:t>Invisible Man</w:t>
      </w:r>
      <w:r w:rsidRPr="00E76C61">
        <w:rPr>
          <w:sz w:val="24"/>
        </w:rPr>
        <w:t xml:space="preserve">, Vintage, </w:t>
      </w:r>
      <w:r w:rsidR="00A4722F">
        <w:rPr>
          <w:sz w:val="24"/>
        </w:rPr>
        <w:t>978-</w:t>
      </w:r>
      <w:r w:rsidRPr="00E76C61">
        <w:rPr>
          <w:sz w:val="24"/>
        </w:rPr>
        <w:t>0679732764</w:t>
      </w:r>
    </w:p>
    <w:p w14:paraId="256123FC" w14:textId="77777777" w:rsidR="00E76C61" w:rsidRDefault="00E76C61" w:rsidP="00E76C61">
      <w:pPr>
        <w:rPr>
          <w:sz w:val="24"/>
        </w:rPr>
      </w:pPr>
      <w:r w:rsidRPr="00E76C61">
        <w:rPr>
          <w:sz w:val="24"/>
        </w:rPr>
        <w:t xml:space="preserve">William Faulkner, </w:t>
      </w:r>
      <w:r w:rsidRPr="00E76C61">
        <w:rPr>
          <w:i/>
          <w:sz w:val="24"/>
        </w:rPr>
        <w:t>The Sound and the Fury</w:t>
      </w:r>
      <w:r w:rsidRPr="00E76C61">
        <w:rPr>
          <w:sz w:val="24"/>
        </w:rPr>
        <w:t xml:space="preserve">, Norton, </w:t>
      </w:r>
      <w:r w:rsidR="00A4722F">
        <w:rPr>
          <w:sz w:val="24"/>
        </w:rPr>
        <w:t>978-</w:t>
      </w:r>
      <w:r w:rsidRPr="00E76C61">
        <w:rPr>
          <w:sz w:val="24"/>
        </w:rPr>
        <w:t>0393964817</w:t>
      </w:r>
    </w:p>
    <w:p w14:paraId="1AAE4CBF" w14:textId="77777777" w:rsidR="003F2E18" w:rsidRPr="003F2E18" w:rsidRDefault="003F2E18" w:rsidP="00E76C61">
      <w:pPr>
        <w:rPr>
          <w:sz w:val="24"/>
        </w:rPr>
      </w:pPr>
      <w:r>
        <w:rPr>
          <w:sz w:val="24"/>
        </w:rPr>
        <w:t xml:space="preserve">Ernest Hemingway, </w:t>
      </w:r>
      <w:r>
        <w:rPr>
          <w:i/>
          <w:sz w:val="24"/>
        </w:rPr>
        <w:t>In Our Time</w:t>
      </w:r>
      <w:r>
        <w:rPr>
          <w:sz w:val="24"/>
        </w:rPr>
        <w:t xml:space="preserve">, Scribners, </w:t>
      </w:r>
      <w:r w:rsidR="00A4722F" w:rsidRPr="00A4722F">
        <w:rPr>
          <w:sz w:val="24"/>
        </w:rPr>
        <w:t>978-0684822761</w:t>
      </w:r>
    </w:p>
    <w:p w14:paraId="2BC2F8D4" w14:textId="77777777" w:rsidR="00E76C61" w:rsidRPr="00E76C61" w:rsidRDefault="00E76C61" w:rsidP="00E76C61">
      <w:pPr>
        <w:rPr>
          <w:sz w:val="24"/>
        </w:rPr>
      </w:pPr>
      <w:r w:rsidRPr="00E76C61">
        <w:rPr>
          <w:sz w:val="24"/>
        </w:rPr>
        <w:t xml:space="preserve">Zora Neal Hurston, </w:t>
      </w:r>
      <w:r w:rsidRPr="00E76C61">
        <w:rPr>
          <w:i/>
          <w:sz w:val="24"/>
        </w:rPr>
        <w:t>Their Eyes Were Watching God</w:t>
      </w:r>
      <w:r w:rsidRPr="00E76C61">
        <w:rPr>
          <w:sz w:val="24"/>
        </w:rPr>
        <w:t xml:space="preserve">, Harper, </w:t>
      </w:r>
      <w:r w:rsidR="00A4722F" w:rsidRPr="00A4722F">
        <w:rPr>
          <w:sz w:val="24"/>
        </w:rPr>
        <w:t>978-0061120060</w:t>
      </w:r>
    </w:p>
    <w:p w14:paraId="6EB344D9" w14:textId="77777777" w:rsidR="00E76C61" w:rsidRPr="00D272E6" w:rsidRDefault="00E76C61" w:rsidP="00E76C61">
      <w:pPr>
        <w:rPr>
          <w:sz w:val="24"/>
        </w:rPr>
      </w:pPr>
      <w:r w:rsidRPr="00E76C61">
        <w:rPr>
          <w:sz w:val="24"/>
        </w:rPr>
        <w:t xml:space="preserve">Toni Morrison, </w:t>
      </w:r>
      <w:r w:rsidR="00D272E6">
        <w:rPr>
          <w:i/>
          <w:sz w:val="24"/>
        </w:rPr>
        <w:t>Sula</w:t>
      </w:r>
      <w:r w:rsidR="00D272E6">
        <w:rPr>
          <w:sz w:val="24"/>
        </w:rPr>
        <w:t xml:space="preserve">, Vintage, </w:t>
      </w:r>
      <w:r w:rsidR="00D272E6" w:rsidRPr="00D272E6">
        <w:rPr>
          <w:sz w:val="24"/>
        </w:rPr>
        <w:t>978-1400033430</w:t>
      </w:r>
    </w:p>
    <w:p w14:paraId="6E653908" w14:textId="77777777" w:rsidR="003F2E18" w:rsidRPr="003F2E18" w:rsidRDefault="003F2E18" w:rsidP="00E76C61">
      <w:pPr>
        <w:rPr>
          <w:sz w:val="24"/>
        </w:rPr>
      </w:pPr>
      <w:r>
        <w:rPr>
          <w:sz w:val="24"/>
        </w:rPr>
        <w:t xml:space="preserve">Vladimir Nabokov, </w:t>
      </w:r>
      <w:r>
        <w:rPr>
          <w:i/>
          <w:sz w:val="24"/>
        </w:rPr>
        <w:t>Lolita</w:t>
      </w:r>
      <w:r>
        <w:rPr>
          <w:sz w:val="24"/>
        </w:rPr>
        <w:t xml:space="preserve">, </w:t>
      </w:r>
      <w:r w:rsidR="00A4722F">
        <w:rPr>
          <w:sz w:val="24"/>
        </w:rPr>
        <w:t xml:space="preserve">Vintage, </w:t>
      </w:r>
      <w:r w:rsidR="00A4722F" w:rsidRPr="00A4722F">
        <w:rPr>
          <w:sz w:val="24"/>
        </w:rPr>
        <w:t>978-0679723165</w:t>
      </w:r>
    </w:p>
    <w:p w14:paraId="7923D9E2" w14:textId="77777777" w:rsidR="00335E66" w:rsidRDefault="00335E66" w:rsidP="00E76C61">
      <w:pPr>
        <w:rPr>
          <w:sz w:val="24"/>
        </w:rPr>
      </w:pPr>
      <w:r>
        <w:rPr>
          <w:sz w:val="24"/>
        </w:rPr>
        <w:t xml:space="preserve">Philip Roth, </w:t>
      </w:r>
      <w:r w:rsidRPr="00335E66">
        <w:rPr>
          <w:i/>
          <w:sz w:val="24"/>
        </w:rPr>
        <w:t>The Plot Against America</w:t>
      </w:r>
      <w:r>
        <w:rPr>
          <w:sz w:val="24"/>
        </w:rPr>
        <w:t xml:space="preserve">, Vintage, </w:t>
      </w:r>
      <w:r w:rsidRPr="00335E66">
        <w:rPr>
          <w:sz w:val="24"/>
        </w:rPr>
        <w:t>978-1400079490</w:t>
      </w:r>
    </w:p>
    <w:p w14:paraId="6F6AAA89" w14:textId="77777777" w:rsidR="00A4722F" w:rsidRDefault="003F2E18" w:rsidP="00A4722F">
      <w:pPr>
        <w:rPr>
          <w:sz w:val="24"/>
        </w:rPr>
      </w:pPr>
      <w:r>
        <w:rPr>
          <w:sz w:val="24"/>
        </w:rPr>
        <w:t xml:space="preserve">Nathaniel West, </w:t>
      </w:r>
      <w:r>
        <w:rPr>
          <w:i/>
          <w:sz w:val="24"/>
        </w:rPr>
        <w:t>Miss Lonelyhearts</w:t>
      </w:r>
      <w:r w:rsidR="00A4722F">
        <w:rPr>
          <w:sz w:val="24"/>
        </w:rPr>
        <w:t xml:space="preserve">, New Directions, </w:t>
      </w:r>
      <w:r w:rsidR="00A4722F" w:rsidRPr="00A4722F">
        <w:rPr>
          <w:sz w:val="24"/>
        </w:rPr>
        <w:t>978-0811218221</w:t>
      </w:r>
    </w:p>
    <w:p w14:paraId="6A1D3849" w14:textId="77777777" w:rsidR="00A96B0C" w:rsidRDefault="00A96B0C">
      <w:pPr>
        <w:rPr>
          <w:b/>
          <w:sz w:val="24"/>
        </w:rPr>
      </w:pPr>
    </w:p>
    <w:p w14:paraId="02D32D59" w14:textId="77777777" w:rsidR="007359DB" w:rsidRDefault="007359DB" w:rsidP="0031203E">
      <w:pPr>
        <w:rPr>
          <w:b/>
          <w:sz w:val="24"/>
        </w:rPr>
      </w:pPr>
      <w:r>
        <w:rPr>
          <w:b/>
          <w:sz w:val="24"/>
        </w:rPr>
        <w:t>Optional Text:</w:t>
      </w:r>
    </w:p>
    <w:p w14:paraId="48FFE885" w14:textId="77777777" w:rsidR="007359DB" w:rsidRPr="00E76C61" w:rsidRDefault="007359DB" w:rsidP="007359DB">
      <w:pPr>
        <w:rPr>
          <w:sz w:val="24"/>
        </w:rPr>
      </w:pPr>
      <w:r w:rsidRPr="00E76C61">
        <w:rPr>
          <w:sz w:val="24"/>
        </w:rPr>
        <w:t xml:space="preserve">David Lehman, </w:t>
      </w:r>
      <w:r w:rsidRPr="001E2AE9">
        <w:rPr>
          <w:i/>
          <w:sz w:val="24"/>
        </w:rPr>
        <w:t>Oxford Book of American Poetry</w:t>
      </w:r>
      <w:r w:rsidRPr="00E76C61">
        <w:rPr>
          <w:sz w:val="24"/>
        </w:rPr>
        <w:t xml:space="preserve">, </w:t>
      </w:r>
      <w:r>
        <w:rPr>
          <w:sz w:val="24"/>
        </w:rPr>
        <w:t xml:space="preserve">Oxford, </w:t>
      </w:r>
      <w:r w:rsidRPr="003F2E18">
        <w:rPr>
          <w:sz w:val="24"/>
        </w:rPr>
        <w:t>978-0195162516</w:t>
      </w:r>
    </w:p>
    <w:p w14:paraId="1C880465" w14:textId="77777777" w:rsidR="007359DB" w:rsidRDefault="007359DB" w:rsidP="0031203E">
      <w:pPr>
        <w:rPr>
          <w:b/>
          <w:sz w:val="24"/>
        </w:rPr>
      </w:pPr>
    </w:p>
    <w:p w14:paraId="2B50B80E" w14:textId="653FD372" w:rsidR="00925BE0" w:rsidRDefault="00A96B0C" w:rsidP="0031203E">
      <w:pPr>
        <w:rPr>
          <w:b/>
          <w:sz w:val="24"/>
        </w:rPr>
      </w:pPr>
      <w:r>
        <w:rPr>
          <w:b/>
          <w:sz w:val="24"/>
        </w:rPr>
        <w:t>Course Introduction and Objectives:</w:t>
      </w:r>
    </w:p>
    <w:p w14:paraId="52B1AFA6" w14:textId="77777777" w:rsidR="00925BE0" w:rsidRDefault="00925BE0" w:rsidP="0031203E">
      <w:pPr>
        <w:rPr>
          <w:sz w:val="24"/>
        </w:rPr>
      </w:pPr>
      <w:r>
        <w:rPr>
          <w:sz w:val="24"/>
        </w:rPr>
        <w:t xml:space="preserve">LIT 376 </w:t>
      </w:r>
      <w:r w:rsidR="004B3DF6">
        <w:rPr>
          <w:sz w:val="24"/>
        </w:rPr>
        <w:t>offers</w:t>
      </w:r>
      <w:r>
        <w:rPr>
          <w:sz w:val="24"/>
        </w:rPr>
        <w:t xml:space="preserve"> an intensive study of U.S. Literature from 1900 to the present.  The </w:t>
      </w:r>
      <w:r w:rsidR="00E7613E">
        <w:rPr>
          <w:sz w:val="24"/>
        </w:rPr>
        <w:t xml:space="preserve">course covers a tremendously rich period of literary, political, and social history, a period that included two world wars, economic collapse, the dropping of the atomic bomb, the collapse of empires, the struggle for civil rights, and the erosion of traditional notions about race, class, gender, sexuality, and personal identity.  Writers during this period sought to be increasingly experimental and avant-garde, even as literature itself developed into a </w:t>
      </w:r>
      <w:r w:rsidR="00BB3F71">
        <w:rPr>
          <w:sz w:val="24"/>
        </w:rPr>
        <w:t xml:space="preserve">cultural institution, a </w:t>
      </w:r>
      <w:r w:rsidR="00A07A3A">
        <w:rPr>
          <w:sz w:val="24"/>
        </w:rPr>
        <w:t xml:space="preserve">commercial commodity, and an intellectual antidote to movies, television, and popular culture.  </w:t>
      </w:r>
      <w:r w:rsidR="00B723CC">
        <w:rPr>
          <w:sz w:val="24"/>
        </w:rPr>
        <w:t xml:space="preserve"> </w:t>
      </w:r>
      <w:r>
        <w:rPr>
          <w:sz w:val="24"/>
        </w:rPr>
        <w:t xml:space="preserve">This course introduces you to a variety of works that self-consciously address questions of genre, history, and experimentation.  It includes works of poetry composed of fragments, novels composed of other stories, and graphic texts that combine memoir, fiction, and the comic book.  </w:t>
      </w:r>
    </w:p>
    <w:p w14:paraId="05AC66D9" w14:textId="77777777" w:rsidR="00A07A3A" w:rsidRDefault="00A07A3A" w:rsidP="0031203E">
      <w:pPr>
        <w:rPr>
          <w:sz w:val="24"/>
        </w:rPr>
      </w:pPr>
    </w:p>
    <w:p w14:paraId="41F249C1" w14:textId="77777777" w:rsidR="00925BE0" w:rsidRDefault="00925BE0" w:rsidP="0031203E">
      <w:pPr>
        <w:rPr>
          <w:sz w:val="24"/>
        </w:rPr>
      </w:pPr>
      <w:r>
        <w:rPr>
          <w:sz w:val="24"/>
        </w:rPr>
        <w:t>Students who complete this course will be able to:</w:t>
      </w:r>
    </w:p>
    <w:p w14:paraId="0704506D" w14:textId="77777777" w:rsidR="00B40AFF" w:rsidRDefault="00B40AFF" w:rsidP="0031203E">
      <w:pPr>
        <w:rPr>
          <w:sz w:val="24"/>
        </w:rPr>
      </w:pPr>
    </w:p>
    <w:p w14:paraId="4B8E1ADF" w14:textId="77777777" w:rsidR="00D171A5" w:rsidRDefault="00D171A5" w:rsidP="00D171A5">
      <w:pPr>
        <w:numPr>
          <w:ilvl w:val="0"/>
          <w:numId w:val="2"/>
        </w:numPr>
        <w:rPr>
          <w:sz w:val="24"/>
        </w:rPr>
      </w:pPr>
      <w:r>
        <w:rPr>
          <w:sz w:val="24"/>
        </w:rPr>
        <w:t>Read independently and develop a strong sense of how aesthetic form and style intersect with content and theme;</w:t>
      </w:r>
    </w:p>
    <w:p w14:paraId="25A9BC79" w14:textId="77777777" w:rsidR="00A07A3A" w:rsidRDefault="00A07A3A" w:rsidP="00FD4934">
      <w:pPr>
        <w:numPr>
          <w:ilvl w:val="0"/>
          <w:numId w:val="2"/>
        </w:numPr>
        <w:rPr>
          <w:sz w:val="24"/>
        </w:rPr>
      </w:pPr>
      <w:r>
        <w:rPr>
          <w:sz w:val="24"/>
        </w:rPr>
        <w:t>Identify and discuss major literary movements</w:t>
      </w:r>
      <w:r w:rsidR="00D171A5">
        <w:rPr>
          <w:sz w:val="24"/>
        </w:rPr>
        <w:t xml:space="preserve"> in 20</w:t>
      </w:r>
      <w:r w:rsidR="00D171A5" w:rsidRPr="00D171A5">
        <w:rPr>
          <w:sz w:val="24"/>
          <w:vertAlign w:val="superscript"/>
        </w:rPr>
        <w:t>th</w:t>
      </w:r>
      <w:r w:rsidR="00D171A5">
        <w:rPr>
          <w:sz w:val="24"/>
        </w:rPr>
        <w:t>-century US Literature</w:t>
      </w:r>
      <w:r>
        <w:rPr>
          <w:sz w:val="24"/>
        </w:rPr>
        <w:t>;</w:t>
      </w:r>
    </w:p>
    <w:p w14:paraId="7BB0312A" w14:textId="77777777" w:rsidR="00A07A3A" w:rsidRDefault="00A07A3A" w:rsidP="00A07A3A">
      <w:pPr>
        <w:numPr>
          <w:ilvl w:val="0"/>
          <w:numId w:val="2"/>
        </w:numPr>
        <w:rPr>
          <w:sz w:val="24"/>
        </w:rPr>
      </w:pPr>
      <w:r>
        <w:rPr>
          <w:sz w:val="24"/>
        </w:rPr>
        <w:t>Appreciate and de-code the conversations that take place between texts and the role these conversations play in creating different versions of literary history;</w:t>
      </w:r>
    </w:p>
    <w:p w14:paraId="315B15D7" w14:textId="77777777" w:rsidR="0031203E" w:rsidRPr="00E7613E" w:rsidRDefault="00FD4934" w:rsidP="0031203E">
      <w:pPr>
        <w:numPr>
          <w:ilvl w:val="0"/>
          <w:numId w:val="2"/>
        </w:numPr>
        <w:rPr>
          <w:sz w:val="24"/>
        </w:rPr>
      </w:pPr>
      <w:r>
        <w:rPr>
          <w:sz w:val="24"/>
        </w:rPr>
        <w:t xml:space="preserve">Develop their own critical voice as they encounter both primary literary texts and secondary critical sources </w:t>
      </w:r>
    </w:p>
    <w:p w14:paraId="5C9F9C8C" w14:textId="77777777" w:rsidR="007359DB" w:rsidRDefault="007359DB">
      <w:pPr>
        <w:rPr>
          <w:b/>
          <w:sz w:val="24"/>
        </w:rPr>
      </w:pPr>
    </w:p>
    <w:p w14:paraId="0E619D12" w14:textId="77777777" w:rsidR="00A96B0C" w:rsidRDefault="00A96B0C">
      <w:pPr>
        <w:rPr>
          <w:b/>
          <w:sz w:val="24"/>
        </w:rPr>
      </w:pPr>
      <w:r>
        <w:rPr>
          <w:b/>
          <w:sz w:val="24"/>
        </w:rPr>
        <w:lastRenderedPageBreak/>
        <w:t>Schedule of Readings</w:t>
      </w:r>
    </w:p>
    <w:p w14:paraId="35E3EECF" w14:textId="77777777" w:rsidR="00A2063D" w:rsidRDefault="00A2063D" w:rsidP="00A2063D">
      <w:pPr>
        <w:rPr>
          <w:sz w:val="24"/>
        </w:rPr>
      </w:pPr>
    </w:p>
    <w:p w14:paraId="044D4F1F" w14:textId="221EABEA" w:rsidR="000339F1" w:rsidRDefault="00F35D51" w:rsidP="007C4ECC">
      <w:pPr>
        <w:ind w:right="-540"/>
        <w:rPr>
          <w:sz w:val="24"/>
        </w:rPr>
      </w:pPr>
      <w:r>
        <w:rPr>
          <w:sz w:val="24"/>
        </w:rPr>
        <w:t>31 August</w:t>
      </w:r>
      <w:r w:rsidR="00B60561">
        <w:rPr>
          <w:sz w:val="24"/>
        </w:rPr>
        <w:t xml:space="preserve">: </w:t>
      </w:r>
      <w:r w:rsidR="00B60561">
        <w:rPr>
          <w:sz w:val="24"/>
        </w:rPr>
        <w:tab/>
      </w:r>
      <w:r w:rsidR="0038300C">
        <w:rPr>
          <w:sz w:val="24"/>
        </w:rPr>
        <w:t xml:space="preserve">Hemingway, </w:t>
      </w:r>
      <w:r w:rsidR="0038300C">
        <w:rPr>
          <w:i/>
          <w:sz w:val="24"/>
        </w:rPr>
        <w:t>In Our Time</w:t>
      </w:r>
      <w:r w:rsidR="00DE761B">
        <w:rPr>
          <w:sz w:val="24"/>
        </w:rPr>
        <w:t>; Strychacz, “</w:t>
      </w:r>
      <w:r w:rsidR="00DE761B">
        <w:rPr>
          <w:i/>
          <w:sz w:val="24"/>
        </w:rPr>
        <w:t>In Our Time</w:t>
      </w:r>
      <w:r w:rsidR="007C4ECC">
        <w:rPr>
          <w:sz w:val="24"/>
        </w:rPr>
        <w:t>, Out of Season</w:t>
      </w:r>
      <w:r w:rsidR="00915449">
        <w:rPr>
          <w:sz w:val="24"/>
        </w:rPr>
        <w:t>”</w:t>
      </w:r>
      <w:r w:rsidR="007C4ECC">
        <w:rPr>
          <w:sz w:val="24"/>
        </w:rPr>
        <w:t xml:space="preserve"> (Canvas)</w:t>
      </w:r>
    </w:p>
    <w:p w14:paraId="25B89AA3" w14:textId="6FA941B9" w:rsidR="00367ADE" w:rsidRPr="00DE761B" w:rsidRDefault="00367ADE" w:rsidP="007C4ECC">
      <w:pPr>
        <w:ind w:right="-540"/>
        <w:rPr>
          <w:sz w:val="24"/>
        </w:rPr>
      </w:pPr>
      <w:r>
        <w:rPr>
          <w:sz w:val="24"/>
        </w:rPr>
        <w:tab/>
      </w:r>
      <w:r>
        <w:rPr>
          <w:sz w:val="24"/>
        </w:rPr>
        <w:tab/>
        <w:t xml:space="preserve">Stein, </w:t>
      </w:r>
      <w:r w:rsidRPr="00367ADE">
        <w:rPr>
          <w:sz w:val="24"/>
        </w:rPr>
        <w:t>"</w:t>
      </w:r>
      <w:r w:rsidR="007359DB">
        <w:rPr>
          <w:sz w:val="24"/>
        </w:rPr>
        <w:t>Cezanne</w:t>
      </w:r>
      <w:r>
        <w:rPr>
          <w:sz w:val="24"/>
        </w:rPr>
        <w:t>" (Canvas)</w:t>
      </w:r>
    </w:p>
    <w:p w14:paraId="6B10065C" w14:textId="77777777" w:rsidR="000339F1" w:rsidRDefault="000339F1" w:rsidP="00A2063D">
      <w:pPr>
        <w:rPr>
          <w:sz w:val="24"/>
        </w:rPr>
      </w:pPr>
    </w:p>
    <w:p w14:paraId="52B9F3EB" w14:textId="3C8E38D8" w:rsidR="00F35D51" w:rsidRPr="00F35D51" w:rsidRDefault="0097012C" w:rsidP="00F35D51">
      <w:pPr>
        <w:ind w:left="1440" w:hanging="1440"/>
        <w:rPr>
          <w:b/>
          <w:sz w:val="24"/>
        </w:rPr>
      </w:pPr>
      <w:r>
        <w:rPr>
          <w:sz w:val="24"/>
        </w:rPr>
        <w:t>8</w:t>
      </w:r>
      <w:r w:rsidR="00A2063D">
        <w:rPr>
          <w:sz w:val="24"/>
        </w:rPr>
        <w:t xml:space="preserve"> September:</w:t>
      </w:r>
      <w:r w:rsidR="00A2063D">
        <w:rPr>
          <w:sz w:val="24"/>
        </w:rPr>
        <w:tab/>
        <w:t xml:space="preserve"> </w:t>
      </w:r>
      <w:r w:rsidR="00667BDA">
        <w:rPr>
          <w:sz w:val="24"/>
        </w:rPr>
        <w:t xml:space="preserve">Eliot, </w:t>
      </w:r>
      <w:r w:rsidR="00667BDA" w:rsidRPr="00BC7D53">
        <w:rPr>
          <w:i/>
          <w:sz w:val="24"/>
        </w:rPr>
        <w:t>The Waste</w:t>
      </w:r>
      <w:r w:rsidR="008226F7">
        <w:rPr>
          <w:i/>
          <w:sz w:val="24"/>
        </w:rPr>
        <w:t xml:space="preserve"> L</w:t>
      </w:r>
      <w:r w:rsidR="00667BDA" w:rsidRPr="00BC7D53">
        <w:rPr>
          <w:i/>
          <w:sz w:val="24"/>
        </w:rPr>
        <w:t>and</w:t>
      </w:r>
      <w:r w:rsidR="00E300C9">
        <w:rPr>
          <w:sz w:val="24"/>
        </w:rPr>
        <w:t>; Eliot selections from "Tradition and the Individual Talent" and "Hamlet" (114-121)</w:t>
      </w:r>
      <w:r w:rsidR="003842E5">
        <w:rPr>
          <w:sz w:val="24"/>
        </w:rPr>
        <w:t xml:space="preserve">; </w:t>
      </w:r>
      <w:r w:rsidR="008226F7">
        <w:rPr>
          <w:sz w:val="24"/>
        </w:rPr>
        <w:t>Gardener, “</w:t>
      </w:r>
      <w:r w:rsidR="008226F7">
        <w:rPr>
          <w:i/>
          <w:sz w:val="24"/>
        </w:rPr>
        <w:t>The Waste Land</w:t>
      </w:r>
      <w:r w:rsidR="008226F7">
        <w:rPr>
          <w:sz w:val="24"/>
        </w:rPr>
        <w:t>: Paris 1922,” (72-89); Armstrong, “Eliot’s Waste Paper,” (275-280).</w:t>
      </w:r>
      <w:r w:rsidR="00E76073">
        <w:rPr>
          <w:sz w:val="24"/>
        </w:rPr>
        <w:br/>
      </w:r>
      <w:r w:rsidR="00F35D51">
        <w:rPr>
          <w:b/>
          <w:sz w:val="24"/>
        </w:rPr>
        <w:br/>
        <w:t>**Remember: TCNJ follows a Monday schedule on this Tuesday**</w:t>
      </w:r>
    </w:p>
    <w:p w14:paraId="4B4B4BC9" w14:textId="77777777" w:rsidR="00E76073" w:rsidRPr="00BC7D53" w:rsidRDefault="00E76073" w:rsidP="00D272E6">
      <w:pPr>
        <w:ind w:left="1440"/>
        <w:rPr>
          <w:sz w:val="24"/>
        </w:rPr>
      </w:pPr>
    </w:p>
    <w:p w14:paraId="2ADD9D0E" w14:textId="06E5C6EC" w:rsidR="00637F90" w:rsidRPr="00915449" w:rsidRDefault="00FC448C" w:rsidP="007359DB">
      <w:pPr>
        <w:ind w:left="1440" w:right="-360" w:hanging="1440"/>
        <w:rPr>
          <w:sz w:val="24"/>
        </w:rPr>
      </w:pPr>
      <w:r>
        <w:rPr>
          <w:sz w:val="24"/>
        </w:rPr>
        <w:t>1</w:t>
      </w:r>
      <w:r w:rsidR="00F35D51">
        <w:rPr>
          <w:sz w:val="24"/>
        </w:rPr>
        <w:t>4</w:t>
      </w:r>
      <w:r w:rsidR="00A2063D">
        <w:rPr>
          <w:sz w:val="24"/>
        </w:rPr>
        <w:t xml:space="preserve"> September:</w:t>
      </w:r>
      <w:r w:rsidR="00A2063D">
        <w:rPr>
          <w:sz w:val="24"/>
        </w:rPr>
        <w:tab/>
        <w:t xml:space="preserve"> </w:t>
      </w:r>
      <w:r w:rsidR="00667BDA">
        <w:rPr>
          <w:sz w:val="24"/>
        </w:rPr>
        <w:t xml:space="preserve">The Poetry of </w:t>
      </w:r>
      <w:r w:rsidR="006D614A">
        <w:rPr>
          <w:sz w:val="24"/>
        </w:rPr>
        <w:t>Gertrude Stein</w:t>
      </w:r>
      <w:r w:rsidR="00431DA3">
        <w:rPr>
          <w:sz w:val="24"/>
        </w:rPr>
        <w:t>, Rob</w:t>
      </w:r>
      <w:r w:rsidR="00D3517B">
        <w:rPr>
          <w:sz w:val="24"/>
        </w:rPr>
        <w:t xml:space="preserve">ert Frost, and </w:t>
      </w:r>
      <w:r w:rsidR="007359DB">
        <w:rPr>
          <w:sz w:val="24"/>
        </w:rPr>
        <w:t xml:space="preserve">William Carlos Williams, </w:t>
      </w:r>
      <w:r w:rsidR="006D614A">
        <w:rPr>
          <w:sz w:val="24"/>
        </w:rPr>
        <w:t>Williams, “Burning the Christmas Greens,” "The Young Housewife," "</w:t>
      </w:r>
      <w:r w:rsidR="007359DB">
        <w:rPr>
          <w:sz w:val="24"/>
        </w:rPr>
        <w:t xml:space="preserve">Danse </w:t>
      </w:r>
      <w:r w:rsidR="00B916FB">
        <w:rPr>
          <w:sz w:val="24"/>
        </w:rPr>
        <w:t xml:space="preserve">Russe," "Portrait of a Lady," "By the Road </w:t>
      </w:r>
      <w:r w:rsidR="007359DB">
        <w:rPr>
          <w:sz w:val="24"/>
        </w:rPr>
        <w:t>to the Contagious Hospital," "This Is Just to Say,</w:t>
      </w:r>
      <w:r w:rsidR="006D614A">
        <w:rPr>
          <w:sz w:val="24"/>
        </w:rPr>
        <w:t>”</w:t>
      </w:r>
      <w:r w:rsidR="007359DB">
        <w:rPr>
          <w:sz w:val="24"/>
        </w:rPr>
        <w:t xml:space="preserve"> “The Red Wheelbarrow”;</w:t>
      </w:r>
      <w:r w:rsidR="006D614A">
        <w:rPr>
          <w:sz w:val="24"/>
        </w:rPr>
        <w:t xml:space="preserve"> Frost,</w:t>
      </w:r>
      <w:r w:rsidR="007359DB">
        <w:rPr>
          <w:sz w:val="24"/>
        </w:rPr>
        <w:t xml:space="preserve"> “Mending Wall,” “Home Burial,” “The </w:t>
      </w:r>
      <w:r w:rsidR="008276DB">
        <w:rPr>
          <w:sz w:val="24"/>
        </w:rPr>
        <w:t>Wood Pile,” “The Oven</w:t>
      </w:r>
      <w:r w:rsidR="007359DB">
        <w:rPr>
          <w:sz w:val="24"/>
        </w:rPr>
        <w:t xml:space="preserve"> Bird,” “After Apple Picking,” “Desert Places,” </w:t>
      </w:r>
      <w:r w:rsidR="008276DB">
        <w:rPr>
          <w:sz w:val="24"/>
        </w:rPr>
        <w:t>“Design</w:t>
      </w:r>
      <w:r w:rsidR="006D614A">
        <w:rPr>
          <w:sz w:val="24"/>
        </w:rPr>
        <w:t>;</w:t>
      </w:r>
      <w:r w:rsidR="008276DB">
        <w:rPr>
          <w:sz w:val="24"/>
        </w:rPr>
        <w:t>”</w:t>
      </w:r>
      <w:r w:rsidR="006D614A">
        <w:rPr>
          <w:sz w:val="24"/>
        </w:rPr>
        <w:t xml:space="preserve"> Stein, selections from </w:t>
      </w:r>
      <w:r w:rsidR="006D614A">
        <w:rPr>
          <w:i/>
          <w:sz w:val="24"/>
        </w:rPr>
        <w:t>Tender Buttons</w:t>
      </w:r>
      <w:r w:rsidR="00915449">
        <w:rPr>
          <w:i/>
          <w:sz w:val="24"/>
        </w:rPr>
        <w:t xml:space="preserve"> </w:t>
      </w:r>
      <w:r w:rsidR="00915449">
        <w:rPr>
          <w:sz w:val="24"/>
        </w:rPr>
        <w:t>(Canvas)</w:t>
      </w:r>
    </w:p>
    <w:p w14:paraId="12DEF3E9" w14:textId="77777777" w:rsidR="00A2063D" w:rsidRPr="009C2828" w:rsidRDefault="00152CFF" w:rsidP="00A2063D">
      <w:pPr>
        <w:rPr>
          <w:sz w:val="24"/>
        </w:rPr>
      </w:pPr>
      <w:r>
        <w:rPr>
          <w:sz w:val="24"/>
        </w:rPr>
        <w:tab/>
      </w:r>
      <w:r>
        <w:rPr>
          <w:sz w:val="24"/>
        </w:rPr>
        <w:tab/>
      </w:r>
      <w:r>
        <w:rPr>
          <w:sz w:val="24"/>
        </w:rPr>
        <w:tab/>
      </w:r>
      <w:r w:rsidR="00A2063D">
        <w:rPr>
          <w:sz w:val="24"/>
        </w:rPr>
        <w:tab/>
      </w:r>
      <w:r w:rsidR="00A2063D">
        <w:rPr>
          <w:sz w:val="24"/>
        </w:rPr>
        <w:tab/>
      </w:r>
    </w:p>
    <w:p w14:paraId="0E3FF29C" w14:textId="6DBFF3E4" w:rsidR="00251EC8" w:rsidRPr="0038300C" w:rsidRDefault="00FC448C" w:rsidP="00686EFE">
      <w:pPr>
        <w:ind w:left="1440" w:hanging="1440"/>
        <w:rPr>
          <w:b/>
          <w:i/>
          <w:sz w:val="24"/>
        </w:rPr>
      </w:pPr>
      <w:r>
        <w:rPr>
          <w:sz w:val="24"/>
        </w:rPr>
        <w:t>2</w:t>
      </w:r>
      <w:r w:rsidR="00F35D51">
        <w:rPr>
          <w:sz w:val="24"/>
        </w:rPr>
        <w:t>1</w:t>
      </w:r>
      <w:r w:rsidR="00A2063D">
        <w:rPr>
          <w:sz w:val="24"/>
        </w:rPr>
        <w:t xml:space="preserve"> September:</w:t>
      </w:r>
      <w:r w:rsidR="00667BDA">
        <w:rPr>
          <w:sz w:val="24"/>
        </w:rPr>
        <w:tab/>
      </w:r>
      <w:r w:rsidR="0038300C">
        <w:rPr>
          <w:sz w:val="24"/>
        </w:rPr>
        <w:t xml:space="preserve">The Harlem Renaissance: </w:t>
      </w:r>
      <w:r w:rsidR="00D47314">
        <w:rPr>
          <w:sz w:val="24"/>
        </w:rPr>
        <w:t xml:space="preserve">Hurston, </w:t>
      </w:r>
      <w:r w:rsidR="00D47314">
        <w:rPr>
          <w:i/>
          <w:sz w:val="24"/>
        </w:rPr>
        <w:t xml:space="preserve">Their Eyes Were </w:t>
      </w:r>
      <w:r w:rsidR="00D47314" w:rsidRPr="00BC7D53">
        <w:rPr>
          <w:i/>
          <w:sz w:val="24"/>
        </w:rPr>
        <w:t>Watching God</w:t>
      </w:r>
      <w:r w:rsidR="00D47314">
        <w:rPr>
          <w:sz w:val="24"/>
        </w:rPr>
        <w:t xml:space="preserve">, the poems of </w:t>
      </w:r>
      <w:r w:rsidR="0038300C">
        <w:rPr>
          <w:sz w:val="24"/>
        </w:rPr>
        <w:t>Langsto</w:t>
      </w:r>
      <w:r w:rsidR="00686EFE">
        <w:rPr>
          <w:sz w:val="24"/>
        </w:rPr>
        <w:t>n Hughes</w:t>
      </w:r>
      <w:r w:rsidR="00D47314">
        <w:rPr>
          <w:sz w:val="24"/>
        </w:rPr>
        <w:t xml:space="preserve"> and</w:t>
      </w:r>
      <w:r w:rsidR="00667BDA">
        <w:rPr>
          <w:sz w:val="24"/>
        </w:rPr>
        <w:t xml:space="preserve"> </w:t>
      </w:r>
      <w:r w:rsidR="00431DA3">
        <w:rPr>
          <w:sz w:val="24"/>
        </w:rPr>
        <w:t>Claude McKay</w:t>
      </w:r>
      <w:r w:rsidR="00545859">
        <w:rPr>
          <w:sz w:val="24"/>
        </w:rPr>
        <w:t xml:space="preserve"> </w:t>
      </w:r>
      <w:r w:rsidR="00D47314">
        <w:rPr>
          <w:sz w:val="24"/>
        </w:rPr>
        <w:t>(</w:t>
      </w:r>
      <w:r w:rsidR="00545859">
        <w:rPr>
          <w:sz w:val="24"/>
        </w:rPr>
        <w:t>Canvas</w:t>
      </w:r>
      <w:r w:rsidR="00D47314">
        <w:rPr>
          <w:sz w:val="24"/>
        </w:rPr>
        <w:t>)</w:t>
      </w:r>
      <w:r w:rsidR="00431DA3">
        <w:rPr>
          <w:sz w:val="24"/>
        </w:rPr>
        <w:t xml:space="preserve"> </w:t>
      </w:r>
    </w:p>
    <w:p w14:paraId="464B10A8" w14:textId="77777777" w:rsidR="00BC7D53" w:rsidRPr="00BC7D53" w:rsidRDefault="00BC7D53" w:rsidP="00A2063D">
      <w:pPr>
        <w:rPr>
          <w:b/>
          <w:sz w:val="24"/>
        </w:rPr>
      </w:pPr>
    </w:p>
    <w:p w14:paraId="48CAC988" w14:textId="06DFADAF" w:rsidR="00A55F70" w:rsidRPr="0090387C" w:rsidRDefault="0090387C" w:rsidP="00AF2DFC">
      <w:pPr>
        <w:rPr>
          <w:sz w:val="24"/>
        </w:rPr>
      </w:pPr>
      <w:r>
        <w:rPr>
          <w:sz w:val="24"/>
        </w:rPr>
        <w:t>2</w:t>
      </w:r>
      <w:r w:rsidR="00F35D51">
        <w:rPr>
          <w:sz w:val="24"/>
        </w:rPr>
        <w:t>8</w:t>
      </w:r>
      <w:r>
        <w:rPr>
          <w:sz w:val="24"/>
        </w:rPr>
        <w:t xml:space="preserve"> September</w:t>
      </w:r>
      <w:r w:rsidR="00251EC8">
        <w:rPr>
          <w:sz w:val="24"/>
        </w:rPr>
        <w:t>:</w:t>
      </w:r>
      <w:r w:rsidR="00251EC8">
        <w:rPr>
          <w:sz w:val="24"/>
        </w:rPr>
        <w:tab/>
      </w:r>
      <w:r w:rsidR="00667BDA">
        <w:rPr>
          <w:sz w:val="24"/>
        </w:rPr>
        <w:t xml:space="preserve">Faulkner, </w:t>
      </w:r>
      <w:r w:rsidR="00667BDA" w:rsidRPr="00BC7D53">
        <w:rPr>
          <w:i/>
          <w:sz w:val="24"/>
        </w:rPr>
        <w:t>The Sound and the Fury</w:t>
      </w:r>
      <w:r w:rsidR="00E7613E">
        <w:rPr>
          <w:sz w:val="24"/>
        </w:rPr>
        <w:t>, section</w:t>
      </w:r>
      <w:r w:rsidR="00431DA3">
        <w:rPr>
          <w:sz w:val="24"/>
        </w:rPr>
        <w:t>s</w:t>
      </w:r>
      <w:r w:rsidR="00E7613E">
        <w:rPr>
          <w:sz w:val="24"/>
        </w:rPr>
        <w:t xml:space="preserve"> 1-2</w:t>
      </w:r>
      <w:r w:rsidR="00DE761B">
        <w:rPr>
          <w:sz w:val="24"/>
        </w:rPr>
        <w:tab/>
      </w:r>
      <w:r w:rsidR="00DE761B">
        <w:rPr>
          <w:sz w:val="24"/>
        </w:rPr>
        <w:tab/>
      </w:r>
      <w:r w:rsidR="00DE761B">
        <w:rPr>
          <w:sz w:val="24"/>
        </w:rPr>
        <w:tab/>
      </w:r>
      <w:r w:rsidR="00DE761B">
        <w:rPr>
          <w:sz w:val="24"/>
        </w:rPr>
        <w:tab/>
      </w:r>
    </w:p>
    <w:p w14:paraId="26A251B5" w14:textId="77777777" w:rsidR="00A55F70" w:rsidRDefault="00A67DA2" w:rsidP="00A2063D">
      <w:pPr>
        <w:ind w:right="-108"/>
        <w:rPr>
          <w:b/>
          <w:sz w:val="24"/>
        </w:rPr>
      </w:pPr>
      <w:r>
        <w:rPr>
          <w:sz w:val="24"/>
        </w:rPr>
        <w:tab/>
      </w:r>
      <w:r>
        <w:rPr>
          <w:sz w:val="24"/>
        </w:rPr>
        <w:tab/>
      </w:r>
      <w:r>
        <w:rPr>
          <w:b/>
          <w:sz w:val="24"/>
        </w:rPr>
        <w:t>Paper #1 Due</w:t>
      </w:r>
    </w:p>
    <w:p w14:paraId="3C25446D" w14:textId="77777777" w:rsidR="00E7613E" w:rsidRDefault="00E7613E" w:rsidP="00A2063D">
      <w:pPr>
        <w:ind w:right="-108"/>
        <w:rPr>
          <w:sz w:val="24"/>
        </w:rPr>
      </w:pPr>
    </w:p>
    <w:p w14:paraId="7CBEE1DC" w14:textId="57FE31D2" w:rsidR="00AF2DFC" w:rsidRDefault="00F35D51" w:rsidP="00A2063D">
      <w:pPr>
        <w:rPr>
          <w:sz w:val="24"/>
        </w:rPr>
      </w:pPr>
      <w:r>
        <w:rPr>
          <w:sz w:val="24"/>
        </w:rPr>
        <w:t>5</w:t>
      </w:r>
      <w:r w:rsidR="00AF2DFC">
        <w:rPr>
          <w:sz w:val="24"/>
        </w:rPr>
        <w:t xml:space="preserve"> October:</w:t>
      </w:r>
      <w:r w:rsidR="00AF2DFC">
        <w:rPr>
          <w:sz w:val="24"/>
        </w:rPr>
        <w:tab/>
      </w:r>
      <w:r w:rsidR="00667BDA">
        <w:rPr>
          <w:sz w:val="24"/>
        </w:rPr>
        <w:t xml:space="preserve">Faulkner, </w:t>
      </w:r>
      <w:r w:rsidR="00667BDA" w:rsidRPr="00BC7D53">
        <w:rPr>
          <w:i/>
          <w:sz w:val="24"/>
        </w:rPr>
        <w:t>The Sound and the Fury</w:t>
      </w:r>
      <w:r w:rsidR="00E7613E">
        <w:rPr>
          <w:sz w:val="24"/>
        </w:rPr>
        <w:t>, section</w:t>
      </w:r>
      <w:r w:rsidR="00431DA3">
        <w:rPr>
          <w:sz w:val="24"/>
        </w:rPr>
        <w:t>s</w:t>
      </w:r>
      <w:r w:rsidR="00E7613E">
        <w:rPr>
          <w:sz w:val="24"/>
        </w:rPr>
        <w:t xml:space="preserve"> 3-4</w:t>
      </w:r>
    </w:p>
    <w:p w14:paraId="41EBB413" w14:textId="77777777" w:rsidR="00AF2DFC" w:rsidRDefault="00AF2DFC" w:rsidP="00A2063D">
      <w:pPr>
        <w:rPr>
          <w:sz w:val="24"/>
        </w:rPr>
      </w:pPr>
    </w:p>
    <w:p w14:paraId="0A682030" w14:textId="5EA02095" w:rsidR="00AF2DFC" w:rsidRDefault="00AF2DFC" w:rsidP="00A2063D">
      <w:pPr>
        <w:rPr>
          <w:sz w:val="24"/>
        </w:rPr>
      </w:pPr>
      <w:r>
        <w:rPr>
          <w:sz w:val="24"/>
        </w:rPr>
        <w:t>1</w:t>
      </w:r>
      <w:r w:rsidR="00F35D51">
        <w:rPr>
          <w:sz w:val="24"/>
        </w:rPr>
        <w:t>2</w:t>
      </w:r>
      <w:r>
        <w:rPr>
          <w:sz w:val="24"/>
        </w:rPr>
        <w:t xml:space="preserve"> October: </w:t>
      </w:r>
      <w:r>
        <w:rPr>
          <w:sz w:val="24"/>
        </w:rPr>
        <w:tab/>
      </w:r>
      <w:r w:rsidRPr="00D75DD7">
        <w:rPr>
          <w:b/>
          <w:sz w:val="24"/>
        </w:rPr>
        <w:t>No class: Fall Break</w:t>
      </w:r>
    </w:p>
    <w:p w14:paraId="57A77866" w14:textId="77777777" w:rsidR="00A2063D" w:rsidRPr="001E2AE9" w:rsidRDefault="00A2063D" w:rsidP="00AF2DFC">
      <w:pPr>
        <w:rPr>
          <w:i/>
          <w:sz w:val="24"/>
        </w:rPr>
      </w:pPr>
      <w:r>
        <w:rPr>
          <w:b/>
          <w:sz w:val="24"/>
        </w:rPr>
        <w:tab/>
      </w:r>
      <w:r>
        <w:rPr>
          <w:sz w:val="24"/>
        </w:rPr>
        <w:t xml:space="preserve">  </w:t>
      </w:r>
      <w:r>
        <w:rPr>
          <w:i/>
          <w:sz w:val="24"/>
        </w:rPr>
        <w:tab/>
      </w:r>
      <w:r>
        <w:rPr>
          <w:sz w:val="24"/>
        </w:rPr>
        <w:tab/>
      </w:r>
      <w:r>
        <w:rPr>
          <w:sz w:val="24"/>
        </w:rPr>
        <w:tab/>
      </w:r>
    </w:p>
    <w:p w14:paraId="4EC2CC47" w14:textId="59F9C001" w:rsidR="001E2AE9" w:rsidRDefault="00F35D51" w:rsidP="00A2063D">
      <w:pPr>
        <w:rPr>
          <w:sz w:val="24"/>
        </w:rPr>
      </w:pPr>
      <w:r>
        <w:rPr>
          <w:sz w:val="24"/>
        </w:rPr>
        <w:t>19</w:t>
      </w:r>
      <w:r w:rsidR="00952EC7">
        <w:rPr>
          <w:sz w:val="24"/>
        </w:rPr>
        <w:t xml:space="preserve"> </w:t>
      </w:r>
      <w:r w:rsidR="00A2063D">
        <w:rPr>
          <w:sz w:val="24"/>
        </w:rPr>
        <w:t xml:space="preserve">October: </w:t>
      </w:r>
      <w:r w:rsidR="00205BD5">
        <w:rPr>
          <w:sz w:val="24"/>
        </w:rPr>
        <w:tab/>
      </w:r>
      <w:r w:rsidR="00757F35">
        <w:rPr>
          <w:sz w:val="24"/>
        </w:rPr>
        <w:t xml:space="preserve">Literature of the 1930s: </w:t>
      </w:r>
      <w:r w:rsidR="00AD6022">
        <w:rPr>
          <w:sz w:val="24"/>
        </w:rPr>
        <w:t xml:space="preserve">West, </w:t>
      </w:r>
      <w:r w:rsidR="00431DA3" w:rsidRPr="00AD6022">
        <w:rPr>
          <w:i/>
          <w:sz w:val="24"/>
        </w:rPr>
        <w:t>Miss Lonelyhearts</w:t>
      </w:r>
      <w:r w:rsidR="00306F1A">
        <w:rPr>
          <w:i/>
          <w:sz w:val="24"/>
        </w:rPr>
        <w:t xml:space="preserve"> </w:t>
      </w:r>
      <w:r w:rsidR="00306F1A" w:rsidRPr="00306F1A">
        <w:rPr>
          <w:sz w:val="24"/>
        </w:rPr>
        <w:t>(title novel only)</w:t>
      </w:r>
      <w:r w:rsidR="00757F35">
        <w:rPr>
          <w:sz w:val="24"/>
        </w:rPr>
        <w:t>;</w:t>
      </w:r>
      <w:r w:rsidR="00757F35">
        <w:rPr>
          <w:sz w:val="24"/>
        </w:rPr>
        <w:tab/>
      </w:r>
      <w:r w:rsidR="00757F35">
        <w:rPr>
          <w:sz w:val="24"/>
        </w:rPr>
        <w:tab/>
      </w:r>
      <w:r w:rsidR="00757F35">
        <w:rPr>
          <w:sz w:val="24"/>
        </w:rPr>
        <w:tab/>
      </w:r>
      <w:r w:rsidR="00757F35">
        <w:rPr>
          <w:sz w:val="24"/>
        </w:rPr>
        <w:tab/>
        <w:t>Williams, “Proletarian</w:t>
      </w:r>
      <w:r w:rsidR="00757F35">
        <w:rPr>
          <w:sz w:val="24"/>
        </w:rPr>
        <w:tab/>
        <w:t xml:space="preserve"> </w:t>
      </w:r>
      <w:r w:rsidR="009F061C">
        <w:rPr>
          <w:sz w:val="24"/>
        </w:rPr>
        <w:t>Portrait," "The Yachts," “To Elsie”</w:t>
      </w:r>
      <w:r w:rsidR="00757F35">
        <w:rPr>
          <w:sz w:val="24"/>
        </w:rPr>
        <w:t>; Hughes,</w:t>
      </w:r>
      <w:r w:rsidR="00757F35">
        <w:rPr>
          <w:sz w:val="24"/>
        </w:rPr>
        <w:tab/>
      </w:r>
      <w:r w:rsidR="00757F35">
        <w:rPr>
          <w:sz w:val="24"/>
        </w:rPr>
        <w:tab/>
      </w:r>
      <w:r w:rsidR="00757F35">
        <w:rPr>
          <w:sz w:val="24"/>
        </w:rPr>
        <w:tab/>
      </w:r>
      <w:r w:rsidR="00C95367">
        <w:rPr>
          <w:sz w:val="24"/>
        </w:rPr>
        <w:t xml:space="preserve">selections </w:t>
      </w:r>
      <w:r w:rsidR="006D614A">
        <w:rPr>
          <w:sz w:val="24"/>
        </w:rPr>
        <w:t>(</w:t>
      </w:r>
      <w:r w:rsidR="00C95367">
        <w:rPr>
          <w:sz w:val="24"/>
        </w:rPr>
        <w:t>Canvas</w:t>
      </w:r>
      <w:r w:rsidR="006D614A">
        <w:rPr>
          <w:sz w:val="24"/>
        </w:rPr>
        <w:t>)</w:t>
      </w:r>
    </w:p>
    <w:p w14:paraId="222396DD" w14:textId="77777777" w:rsidR="007E2156" w:rsidRDefault="007E2156" w:rsidP="00A2063D">
      <w:pPr>
        <w:rPr>
          <w:sz w:val="24"/>
        </w:rPr>
      </w:pPr>
    </w:p>
    <w:p w14:paraId="4A5F524F" w14:textId="248B4B29" w:rsidR="00A67DA2" w:rsidRPr="0038300C" w:rsidRDefault="00952EC7" w:rsidP="00A67DA2">
      <w:pPr>
        <w:rPr>
          <w:sz w:val="24"/>
        </w:rPr>
      </w:pPr>
      <w:r w:rsidRPr="00667BDA">
        <w:rPr>
          <w:sz w:val="24"/>
          <w:szCs w:val="24"/>
        </w:rPr>
        <w:t>2</w:t>
      </w:r>
      <w:r w:rsidR="00F35D51">
        <w:rPr>
          <w:sz w:val="24"/>
          <w:szCs w:val="24"/>
        </w:rPr>
        <w:t>6</w:t>
      </w:r>
      <w:r w:rsidR="00A2063D" w:rsidRPr="00667BDA">
        <w:rPr>
          <w:sz w:val="24"/>
          <w:szCs w:val="24"/>
        </w:rPr>
        <w:t xml:space="preserve"> October: </w:t>
      </w:r>
      <w:r w:rsidR="00A2063D" w:rsidRPr="00667BDA">
        <w:rPr>
          <w:sz w:val="24"/>
          <w:szCs w:val="24"/>
        </w:rPr>
        <w:tab/>
      </w:r>
      <w:r w:rsidR="0038300C">
        <w:rPr>
          <w:sz w:val="24"/>
        </w:rPr>
        <w:t xml:space="preserve">Ellison, </w:t>
      </w:r>
      <w:r w:rsidR="0038300C" w:rsidRPr="00BC7D53">
        <w:rPr>
          <w:i/>
          <w:sz w:val="24"/>
        </w:rPr>
        <w:t>Invisible Man</w:t>
      </w:r>
    </w:p>
    <w:p w14:paraId="45E5791D" w14:textId="77777777" w:rsidR="009F2BDD" w:rsidRPr="00667BDA" w:rsidRDefault="009F2BDD" w:rsidP="009F2BDD">
      <w:pPr>
        <w:rPr>
          <w:sz w:val="24"/>
          <w:szCs w:val="24"/>
        </w:rPr>
      </w:pPr>
      <w:r w:rsidRPr="00667BDA">
        <w:rPr>
          <w:sz w:val="24"/>
          <w:szCs w:val="24"/>
        </w:rPr>
        <w:tab/>
      </w:r>
      <w:r w:rsidRPr="00667BDA">
        <w:rPr>
          <w:sz w:val="24"/>
          <w:szCs w:val="24"/>
        </w:rPr>
        <w:tab/>
      </w:r>
    </w:p>
    <w:p w14:paraId="0F643444" w14:textId="3C80A980" w:rsidR="001754D5" w:rsidRDefault="00F35D51" w:rsidP="001E2AE9">
      <w:pPr>
        <w:rPr>
          <w:sz w:val="24"/>
          <w:szCs w:val="24"/>
        </w:rPr>
      </w:pPr>
      <w:r>
        <w:rPr>
          <w:sz w:val="24"/>
          <w:szCs w:val="24"/>
        </w:rPr>
        <w:t>2</w:t>
      </w:r>
      <w:r w:rsidR="00AF2DFC" w:rsidRPr="00667BDA">
        <w:rPr>
          <w:sz w:val="24"/>
          <w:szCs w:val="24"/>
        </w:rPr>
        <w:t xml:space="preserve"> November</w:t>
      </w:r>
      <w:r w:rsidR="009F2BDD" w:rsidRPr="00667BDA">
        <w:rPr>
          <w:sz w:val="24"/>
          <w:szCs w:val="24"/>
        </w:rPr>
        <w:t xml:space="preserve">: </w:t>
      </w:r>
      <w:r w:rsidR="009F2BDD" w:rsidRPr="00667BDA">
        <w:rPr>
          <w:sz w:val="24"/>
          <w:szCs w:val="24"/>
        </w:rPr>
        <w:tab/>
      </w:r>
      <w:r w:rsidR="00C718EE">
        <w:rPr>
          <w:sz w:val="24"/>
          <w:szCs w:val="24"/>
        </w:rPr>
        <w:t xml:space="preserve">The </w:t>
      </w:r>
      <w:r w:rsidR="0038300C">
        <w:rPr>
          <w:sz w:val="24"/>
          <w:szCs w:val="24"/>
        </w:rPr>
        <w:t>Literature</w:t>
      </w:r>
      <w:r w:rsidR="00C718EE">
        <w:rPr>
          <w:sz w:val="24"/>
          <w:szCs w:val="24"/>
        </w:rPr>
        <w:t xml:space="preserve"> of Selfhood at Mid-Century</w:t>
      </w:r>
      <w:r w:rsidR="00667BDA">
        <w:rPr>
          <w:sz w:val="24"/>
          <w:szCs w:val="24"/>
        </w:rPr>
        <w:t xml:space="preserve"> </w:t>
      </w:r>
    </w:p>
    <w:p w14:paraId="1235C94E" w14:textId="5646B342" w:rsidR="009F2BDD" w:rsidRDefault="00C718EE" w:rsidP="0038300C">
      <w:pPr>
        <w:ind w:left="1440"/>
        <w:rPr>
          <w:sz w:val="24"/>
          <w:szCs w:val="24"/>
        </w:rPr>
      </w:pPr>
      <w:r>
        <w:rPr>
          <w:sz w:val="24"/>
          <w:szCs w:val="24"/>
        </w:rPr>
        <w:t>Ginsberg, "</w:t>
      </w:r>
      <w:r w:rsidR="007359DB">
        <w:rPr>
          <w:sz w:val="24"/>
          <w:szCs w:val="24"/>
        </w:rPr>
        <w:t>Howl</w:t>
      </w:r>
      <w:r>
        <w:rPr>
          <w:sz w:val="24"/>
          <w:szCs w:val="24"/>
        </w:rPr>
        <w:t>"</w:t>
      </w:r>
      <w:r w:rsidR="007359DB">
        <w:rPr>
          <w:sz w:val="24"/>
          <w:szCs w:val="24"/>
        </w:rPr>
        <w:t>;</w:t>
      </w:r>
      <w:r>
        <w:rPr>
          <w:sz w:val="24"/>
          <w:szCs w:val="24"/>
        </w:rPr>
        <w:t xml:space="preserve"> </w:t>
      </w:r>
      <w:r w:rsidR="00667BDA">
        <w:rPr>
          <w:sz w:val="24"/>
          <w:szCs w:val="24"/>
        </w:rPr>
        <w:t>Plath</w:t>
      </w:r>
      <w:r w:rsidR="00915449">
        <w:rPr>
          <w:sz w:val="24"/>
          <w:szCs w:val="24"/>
        </w:rPr>
        <w:t>,</w:t>
      </w:r>
      <w:r w:rsidR="0057724D">
        <w:rPr>
          <w:sz w:val="24"/>
          <w:szCs w:val="24"/>
        </w:rPr>
        <w:t xml:space="preserve"> </w:t>
      </w:r>
      <w:r w:rsidR="0038300C">
        <w:rPr>
          <w:sz w:val="24"/>
          <w:szCs w:val="24"/>
        </w:rPr>
        <w:t>"Lady Lazarus</w:t>
      </w:r>
      <w:r w:rsidR="009F061C">
        <w:rPr>
          <w:sz w:val="24"/>
          <w:szCs w:val="24"/>
        </w:rPr>
        <w:t>,</w:t>
      </w:r>
      <w:r w:rsidR="0038300C">
        <w:rPr>
          <w:sz w:val="24"/>
          <w:szCs w:val="24"/>
        </w:rPr>
        <w:t>"</w:t>
      </w:r>
      <w:r w:rsidR="009F061C">
        <w:rPr>
          <w:sz w:val="24"/>
          <w:szCs w:val="24"/>
        </w:rPr>
        <w:t xml:space="preserve"> “Daddy,”</w:t>
      </w:r>
      <w:r w:rsidR="0038300C">
        <w:rPr>
          <w:sz w:val="24"/>
          <w:szCs w:val="24"/>
        </w:rPr>
        <w:t xml:space="preserve"> and </w:t>
      </w:r>
      <w:r>
        <w:rPr>
          <w:sz w:val="24"/>
          <w:szCs w:val="24"/>
        </w:rPr>
        <w:t>"The Arrival of the Bee Box"</w:t>
      </w:r>
      <w:r w:rsidR="007359DB">
        <w:rPr>
          <w:sz w:val="24"/>
          <w:szCs w:val="24"/>
        </w:rPr>
        <w:t>;</w:t>
      </w:r>
      <w:r>
        <w:rPr>
          <w:sz w:val="24"/>
          <w:szCs w:val="24"/>
        </w:rPr>
        <w:t xml:space="preserve"> and </w:t>
      </w:r>
      <w:r w:rsidR="009F061C">
        <w:rPr>
          <w:sz w:val="24"/>
          <w:szCs w:val="24"/>
        </w:rPr>
        <w:t>Baldwin, “Notes on a Native Son”</w:t>
      </w:r>
      <w:r w:rsidR="00215324">
        <w:rPr>
          <w:sz w:val="24"/>
          <w:szCs w:val="24"/>
        </w:rPr>
        <w:t xml:space="preserve"> (Canvas)</w:t>
      </w:r>
    </w:p>
    <w:p w14:paraId="34787C72" w14:textId="77777777" w:rsidR="0038300C" w:rsidRDefault="0038300C" w:rsidP="001754D5">
      <w:pPr>
        <w:ind w:left="720" w:firstLine="720"/>
        <w:rPr>
          <w:b/>
          <w:sz w:val="24"/>
          <w:szCs w:val="24"/>
        </w:rPr>
      </w:pPr>
      <w:r>
        <w:rPr>
          <w:b/>
          <w:sz w:val="24"/>
          <w:szCs w:val="24"/>
        </w:rPr>
        <w:t>Paper #2 Due</w:t>
      </w:r>
    </w:p>
    <w:p w14:paraId="71F3DCC9" w14:textId="77777777" w:rsidR="009F2BDD" w:rsidRPr="00667BDA" w:rsidRDefault="00D75DD7" w:rsidP="00D47314">
      <w:pPr>
        <w:rPr>
          <w:sz w:val="24"/>
          <w:szCs w:val="24"/>
        </w:rPr>
      </w:pPr>
      <w:r>
        <w:rPr>
          <w:sz w:val="24"/>
          <w:szCs w:val="24"/>
        </w:rPr>
        <w:tab/>
      </w:r>
      <w:r>
        <w:rPr>
          <w:sz w:val="24"/>
          <w:szCs w:val="24"/>
        </w:rPr>
        <w:tab/>
      </w:r>
      <w:r w:rsidR="009F2BDD" w:rsidRPr="00667BDA">
        <w:rPr>
          <w:sz w:val="24"/>
          <w:szCs w:val="24"/>
        </w:rPr>
        <w:t xml:space="preserve"> </w:t>
      </w:r>
    </w:p>
    <w:p w14:paraId="3369FB30" w14:textId="651BB9A9" w:rsidR="007E2156" w:rsidRDefault="00F35D51" w:rsidP="009F2BDD">
      <w:pPr>
        <w:rPr>
          <w:i/>
          <w:sz w:val="24"/>
          <w:szCs w:val="24"/>
        </w:rPr>
      </w:pPr>
      <w:r>
        <w:rPr>
          <w:sz w:val="24"/>
          <w:szCs w:val="24"/>
        </w:rPr>
        <w:t>9</w:t>
      </w:r>
      <w:r w:rsidR="009F2BDD" w:rsidRPr="00667BDA">
        <w:rPr>
          <w:sz w:val="24"/>
          <w:szCs w:val="24"/>
        </w:rPr>
        <w:t xml:space="preserve"> November:</w:t>
      </w:r>
      <w:r w:rsidR="009F2BDD" w:rsidRPr="00667BDA">
        <w:rPr>
          <w:sz w:val="24"/>
          <w:szCs w:val="24"/>
        </w:rPr>
        <w:tab/>
      </w:r>
      <w:r w:rsidR="007E2156">
        <w:rPr>
          <w:sz w:val="24"/>
          <w:szCs w:val="24"/>
        </w:rPr>
        <w:t>Nabokov</w:t>
      </w:r>
      <w:r w:rsidR="00431DA3">
        <w:rPr>
          <w:i/>
          <w:sz w:val="24"/>
          <w:szCs w:val="24"/>
        </w:rPr>
        <w:t xml:space="preserve">, Lolita </w:t>
      </w:r>
    </w:p>
    <w:p w14:paraId="03D63722" w14:textId="77777777" w:rsidR="001E2AE9" w:rsidRPr="00667BDA" w:rsidRDefault="001E2AE9" w:rsidP="009F2BDD">
      <w:pPr>
        <w:rPr>
          <w:sz w:val="24"/>
          <w:szCs w:val="24"/>
        </w:rPr>
      </w:pPr>
    </w:p>
    <w:p w14:paraId="4C0DCCE5" w14:textId="3BB93DF7" w:rsidR="009F2BDD" w:rsidRPr="00D92A40" w:rsidRDefault="009F2BDD" w:rsidP="009F2BDD">
      <w:pPr>
        <w:rPr>
          <w:b/>
          <w:sz w:val="24"/>
          <w:szCs w:val="24"/>
        </w:rPr>
      </w:pPr>
      <w:r w:rsidRPr="00667BDA">
        <w:rPr>
          <w:sz w:val="24"/>
          <w:szCs w:val="24"/>
        </w:rPr>
        <w:t>1</w:t>
      </w:r>
      <w:r w:rsidR="00F35D51">
        <w:rPr>
          <w:sz w:val="24"/>
          <w:szCs w:val="24"/>
        </w:rPr>
        <w:t>6</w:t>
      </w:r>
      <w:r w:rsidRPr="00667BDA">
        <w:rPr>
          <w:sz w:val="24"/>
          <w:szCs w:val="24"/>
        </w:rPr>
        <w:t xml:space="preserve"> November:</w:t>
      </w:r>
      <w:r w:rsidRPr="00667BDA">
        <w:rPr>
          <w:sz w:val="24"/>
          <w:szCs w:val="24"/>
        </w:rPr>
        <w:tab/>
        <w:t xml:space="preserve"> </w:t>
      </w:r>
      <w:r w:rsidR="007E2156">
        <w:rPr>
          <w:sz w:val="24"/>
          <w:szCs w:val="24"/>
        </w:rPr>
        <w:t xml:space="preserve">Roth, </w:t>
      </w:r>
      <w:r w:rsidR="007E2156">
        <w:rPr>
          <w:i/>
          <w:sz w:val="24"/>
          <w:szCs w:val="24"/>
        </w:rPr>
        <w:t>The Plot Against America</w:t>
      </w:r>
      <w:r w:rsidR="00D92A40">
        <w:rPr>
          <w:i/>
          <w:sz w:val="24"/>
          <w:szCs w:val="24"/>
        </w:rPr>
        <w:t xml:space="preserve"> </w:t>
      </w:r>
    </w:p>
    <w:p w14:paraId="487A5A36" w14:textId="77777777" w:rsidR="001E2AE9" w:rsidRPr="00667BDA" w:rsidRDefault="001E2AE9" w:rsidP="009F2BDD">
      <w:pPr>
        <w:rPr>
          <w:sz w:val="24"/>
          <w:szCs w:val="24"/>
        </w:rPr>
      </w:pPr>
    </w:p>
    <w:p w14:paraId="18E3AE79" w14:textId="4C8B0525" w:rsidR="00D75DD7" w:rsidRPr="00D92A40" w:rsidRDefault="00AF2DFC" w:rsidP="001E2AE9">
      <w:pPr>
        <w:rPr>
          <w:b/>
          <w:i/>
          <w:sz w:val="24"/>
          <w:szCs w:val="24"/>
        </w:rPr>
      </w:pPr>
      <w:r w:rsidRPr="00667BDA">
        <w:rPr>
          <w:sz w:val="24"/>
          <w:szCs w:val="24"/>
        </w:rPr>
        <w:t>2</w:t>
      </w:r>
      <w:r w:rsidR="00F35D51">
        <w:rPr>
          <w:sz w:val="24"/>
          <w:szCs w:val="24"/>
        </w:rPr>
        <w:t>3</w:t>
      </w:r>
      <w:r w:rsidR="00900276">
        <w:rPr>
          <w:sz w:val="24"/>
          <w:szCs w:val="24"/>
        </w:rPr>
        <w:t xml:space="preserve"> November:  </w:t>
      </w:r>
      <w:r w:rsidR="007E2156">
        <w:rPr>
          <w:sz w:val="24"/>
          <w:szCs w:val="24"/>
        </w:rPr>
        <w:t xml:space="preserve">Morrison, </w:t>
      </w:r>
      <w:r w:rsidR="00217961">
        <w:rPr>
          <w:i/>
          <w:sz w:val="24"/>
          <w:szCs w:val="24"/>
        </w:rPr>
        <w:t>Sula</w:t>
      </w:r>
      <w:r w:rsidR="00A7331D">
        <w:rPr>
          <w:i/>
          <w:sz w:val="24"/>
          <w:szCs w:val="24"/>
        </w:rPr>
        <w:t xml:space="preserve"> </w:t>
      </w:r>
    </w:p>
    <w:p w14:paraId="71A91E2A" w14:textId="77777777" w:rsidR="004E6A20" w:rsidRDefault="004E6A20" w:rsidP="001E2AE9">
      <w:pPr>
        <w:rPr>
          <w:sz w:val="24"/>
          <w:szCs w:val="24"/>
        </w:rPr>
      </w:pPr>
      <w:r>
        <w:rPr>
          <w:sz w:val="24"/>
          <w:szCs w:val="24"/>
        </w:rPr>
        <w:tab/>
      </w:r>
      <w:r>
        <w:rPr>
          <w:sz w:val="24"/>
          <w:szCs w:val="24"/>
        </w:rPr>
        <w:tab/>
      </w:r>
    </w:p>
    <w:p w14:paraId="7FF712A9" w14:textId="77777777" w:rsidR="004E6A20" w:rsidRPr="004E6A20" w:rsidRDefault="004E6A20" w:rsidP="001E2AE9">
      <w:pPr>
        <w:rPr>
          <w:b/>
          <w:sz w:val="24"/>
          <w:szCs w:val="24"/>
        </w:rPr>
      </w:pPr>
      <w:r>
        <w:rPr>
          <w:sz w:val="24"/>
          <w:szCs w:val="24"/>
        </w:rPr>
        <w:tab/>
      </w:r>
      <w:r>
        <w:rPr>
          <w:sz w:val="24"/>
          <w:szCs w:val="24"/>
        </w:rPr>
        <w:tab/>
      </w:r>
      <w:r>
        <w:rPr>
          <w:b/>
          <w:sz w:val="24"/>
          <w:szCs w:val="24"/>
        </w:rPr>
        <w:t>Thanksgiving Break</w:t>
      </w:r>
    </w:p>
    <w:p w14:paraId="4493E2B1" w14:textId="77777777" w:rsidR="009F2BDD" w:rsidRPr="00667BDA" w:rsidRDefault="009F2BDD" w:rsidP="009F2BDD">
      <w:pPr>
        <w:rPr>
          <w:sz w:val="24"/>
          <w:szCs w:val="24"/>
        </w:rPr>
      </w:pPr>
    </w:p>
    <w:p w14:paraId="786C7F88" w14:textId="4487D5B7" w:rsidR="0097012C" w:rsidRPr="007942F5" w:rsidRDefault="00F35D51" w:rsidP="00AD6022">
      <w:pPr>
        <w:rPr>
          <w:sz w:val="24"/>
          <w:szCs w:val="24"/>
        </w:rPr>
      </w:pPr>
      <w:r>
        <w:rPr>
          <w:sz w:val="24"/>
          <w:szCs w:val="24"/>
        </w:rPr>
        <w:t>30</w:t>
      </w:r>
      <w:r w:rsidR="00217961">
        <w:rPr>
          <w:sz w:val="24"/>
          <w:szCs w:val="24"/>
        </w:rPr>
        <w:t xml:space="preserve"> November</w:t>
      </w:r>
      <w:r w:rsidR="0097012C">
        <w:rPr>
          <w:sz w:val="24"/>
          <w:szCs w:val="24"/>
        </w:rPr>
        <w:t>:</w:t>
      </w:r>
      <w:r>
        <w:rPr>
          <w:sz w:val="24"/>
          <w:szCs w:val="24"/>
        </w:rPr>
        <w:t xml:space="preserve"> </w:t>
      </w:r>
      <w:r w:rsidR="0097012C">
        <w:rPr>
          <w:sz w:val="24"/>
          <w:szCs w:val="24"/>
        </w:rPr>
        <w:t xml:space="preserve">Bechdel, </w:t>
      </w:r>
      <w:r w:rsidR="0097012C" w:rsidRPr="00AD6022">
        <w:rPr>
          <w:i/>
          <w:sz w:val="24"/>
          <w:szCs w:val="24"/>
        </w:rPr>
        <w:t>Fun Ho</w:t>
      </w:r>
      <w:r w:rsidR="00EA7E62">
        <w:rPr>
          <w:i/>
          <w:sz w:val="24"/>
          <w:szCs w:val="24"/>
        </w:rPr>
        <w:t>me</w:t>
      </w:r>
      <w:r w:rsidR="0097012C" w:rsidRPr="00AD6022">
        <w:rPr>
          <w:i/>
          <w:sz w:val="24"/>
          <w:szCs w:val="24"/>
        </w:rPr>
        <w:t>: A Family Tragicomic</w:t>
      </w:r>
    </w:p>
    <w:p w14:paraId="75657F70" w14:textId="77777777" w:rsidR="00AD6022" w:rsidRDefault="00AD6022" w:rsidP="009F2BDD">
      <w:pPr>
        <w:rPr>
          <w:sz w:val="24"/>
          <w:szCs w:val="24"/>
        </w:rPr>
      </w:pPr>
    </w:p>
    <w:p w14:paraId="51D6CF6B" w14:textId="532B694C" w:rsidR="00A67DA2" w:rsidRDefault="00217961" w:rsidP="00215324">
      <w:pPr>
        <w:rPr>
          <w:b/>
          <w:sz w:val="24"/>
          <w:szCs w:val="24"/>
        </w:rPr>
      </w:pPr>
      <w:r>
        <w:rPr>
          <w:b/>
          <w:sz w:val="24"/>
          <w:szCs w:val="24"/>
        </w:rPr>
        <w:t>2</w:t>
      </w:r>
      <w:r w:rsidR="00215324">
        <w:rPr>
          <w:b/>
          <w:sz w:val="24"/>
          <w:szCs w:val="24"/>
        </w:rPr>
        <w:t xml:space="preserve"> December:</w:t>
      </w:r>
      <w:r w:rsidR="00215324">
        <w:rPr>
          <w:b/>
          <w:sz w:val="24"/>
          <w:szCs w:val="24"/>
        </w:rPr>
        <w:tab/>
      </w:r>
      <w:r w:rsidR="00A67DA2">
        <w:rPr>
          <w:b/>
          <w:sz w:val="24"/>
          <w:szCs w:val="24"/>
        </w:rPr>
        <w:t>Paper #3 Due</w:t>
      </w:r>
      <w:r w:rsidR="00CE7914">
        <w:rPr>
          <w:b/>
          <w:sz w:val="24"/>
          <w:szCs w:val="24"/>
        </w:rPr>
        <w:t xml:space="preserve"> </w:t>
      </w:r>
      <w:r w:rsidR="007359DB">
        <w:rPr>
          <w:b/>
          <w:sz w:val="24"/>
          <w:szCs w:val="24"/>
        </w:rPr>
        <w:t>by 5 pm</w:t>
      </w:r>
    </w:p>
    <w:p w14:paraId="38E00CB8" w14:textId="77777777" w:rsidR="00A67DA2" w:rsidRDefault="00A67DA2" w:rsidP="009F2BDD">
      <w:pPr>
        <w:rPr>
          <w:b/>
          <w:sz w:val="24"/>
          <w:szCs w:val="24"/>
        </w:rPr>
      </w:pPr>
    </w:p>
    <w:p w14:paraId="0654C850" w14:textId="77777777" w:rsidR="00A2063D" w:rsidRPr="00A67DA2" w:rsidRDefault="009F2BDD" w:rsidP="009F2BDD">
      <w:pPr>
        <w:rPr>
          <w:sz w:val="24"/>
          <w:szCs w:val="24"/>
        </w:rPr>
      </w:pPr>
      <w:r w:rsidRPr="00667BDA">
        <w:rPr>
          <w:sz w:val="24"/>
          <w:szCs w:val="24"/>
        </w:rPr>
        <w:t>TBA December: Final Exam</w:t>
      </w:r>
    </w:p>
    <w:p w14:paraId="7D9553E4" w14:textId="77777777" w:rsidR="00FB2936" w:rsidRDefault="00FB2936">
      <w:pPr>
        <w:rPr>
          <w:b/>
          <w:sz w:val="18"/>
          <w:szCs w:val="18"/>
        </w:rPr>
      </w:pPr>
    </w:p>
    <w:p w14:paraId="64C03FD2" w14:textId="77777777" w:rsidR="00FB2936" w:rsidRDefault="00FB2936">
      <w:pPr>
        <w:rPr>
          <w:b/>
          <w:sz w:val="18"/>
          <w:szCs w:val="18"/>
        </w:rPr>
      </w:pPr>
    </w:p>
    <w:p w14:paraId="3E5D4E01" w14:textId="77777777" w:rsidR="007942F5" w:rsidRPr="00CD4425" w:rsidRDefault="007942F5" w:rsidP="007942F5">
      <w:pPr>
        <w:keepNext/>
        <w:outlineLvl w:val="0"/>
        <w:rPr>
          <w:b/>
          <w:sz w:val="21"/>
          <w:szCs w:val="21"/>
        </w:rPr>
      </w:pPr>
      <w:r w:rsidRPr="00CD4425">
        <w:rPr>
          <w:b/>
          <w:sz w:val="21"/>
          <w:szCs w:val="21"/>
        </w:rPr>
        <w:t>Course Policies</w:t>
      </w:r>
    </w:p>
    <w:p w14:paraId="1C8659BA" w14:textId="77777777" w:rsidR="007942F5" w:rsidRPr="00CD4425" w:rsidRDefault="007942F5" w:rsidP="007942F5">
      <w:pPr>
        <w:rPr>
          <w:b/>
          <w:sz w:val="21"/>
          <w:szCs w:val="21"/>
        </w:rPr>
      </w:pPr>
    </w:p>
    <w:p w14:paraId="692CF47B" w14:textId="77777777" w:rsidR="007942F5" w:rsidRPr="00CD4425" w:rsidRDefault="007942F5" w:rsidP="007942F5">
      <w:pPr>
        <w:numPr>
          <w:ilvl w:val="0"/>
          <w:numId w:val="1"/>
        </w:numPr>
        <w:tabs>
          <w:tab w:val="clear" w:pos="360"/>
          <w:tab w:val="num" w:pos="180"/>
          <w:tab w:val="num" w:pos="720"/>
        </w:tabs>
        <w:ind w:left="180" w:right="-396" w:firstLine="0"/>
        <w:rPr>
          <w:sz w:val="21"/>
          <w:szCs w:val="21"/>
        </w:rPr>
      </w:pPr>
      <w:r w:rsidRPr="00CD4425">
        <w:rPr>
          <w:sz w:val="21"/>
          <w:szCs w:val="21"/>
        </w:rPr>
        <w:t>The success of this course depends on your keeping-up with the reading and participating in class.  On some days I will take a firm hand in guiding you through the texts; on others, I will leave the discussions open to the class.  Your attendance and participation are mandatory.  After two absences (regardless of the reason), your participation grade will suffer.  If circumstances arise which mandate a prolonged absence, please contact the Office of Student Life (771-2201) and provide me with appropriate documentation.</w:t>
      </w:r>
      <w:r w:rsidR="00EE2C6E" w:rsidRPr="00CD4425">
        <w:rPr>
          <w:sz w:val="21"/>
          <w:szCs w:val="21"/>
        </w:rPr>
        <w:t xml:space="preserve">  TCNJ’s policy on academic absences is available on the web:  </w:t>
      </w:r>
      <w:r w:rsidR="00D272E6" w:rsidRPr="00CD4425">
        <w:fldChar w:fldCharType="begin"/>
      </w:r>
      <w:r w:rsidR="00D272E6" w:rsidRPr="00CD4425">
        <w:rPr>
          <w:sz w:val="21"/>
          <w:szCs w:val="21"/>
        </w:rPr>
        <w:instrText xml:space="preserve"> HYPERLINK "http://policies.tcnj.edu/policies/digest.php?docId=9134" \t "_blank" </w:instrText>
      </w:r>
      <w:r w:rsidR="00D272E6" w:rsidRPr="00CD4425">
        <w:fldChar w:fldCharType="separate"/>
      </w:r>
      <w:r w:rsidR="00EE2C6E" w:rsidRPr="00CD4425">
        <w:rPr>
          <w:rStyle w:val="Hyperlink"/>
          <w:sz w:val="21"/>
          <w:szCs w:val="21"/>
        </w:rPr>
        <w:t>http://policies.tcnj.edu/policies/digest.php?docId=9134</w:t>
      </w:r>
      <w:r w:rsidR="00D272E6" w:rsidRPr="00CD4425">
        <w:rPr>
          <w:rStyle w:val="Hyperlink"/>
          <w:sz w:val="21"/>
          <w:szCs w:val="21"/>
        </w:rPr>
        <w:fldChar w:fldCharType="end"/>
      </w:r>
      <w:r w:rsidR="00EE2C6E" w:rsidRPr="00CD4425">
        <w:rPr>
          <w:sz w:val="21"/>
          <w:szCs w:val="21"/>
        </w:rPr>
        <w:t> </w:t>
      </w:r>
    </w:p>
    <w:p w14:paraId="7CAC108F" w14:textId="77777777" w:rsidR="007942F5" w:rsidRPr="00CD4425" w:rsidRDefault="007942F5" w:rsidP="007942F5">
      <w:pPr>
        <w:tabs>
          <w:tab w:val="num" w:pos="180"/>
        </w:tabs>
        <w:ind w:left="180"/>
        <w:rPr>
          <w:sz w:val="21"/>
          <w:szCs w:val="21"/>
        </w:rPr>
      </w:pPr>
    </w:p>
    <w:p w14:paraId="70044425" w14:textId="77777777" w:rsidR="007942F5" w:rsidRPr="00CD4425" w:rsidRDefault="007942F5" w:rsidP="007942F5">
      <w:pPr>
        <w:numPr>
          <w:ilvl w:val="0"/>
          <w:numId w:val="1"/>
        </w:numPr>
        <w:tabs>
          <w:tab w:val="clear" w:pos="360"/>
          <w:tab w:val="num" w:pos="180"/>
          <w:tab w:val="num" w:pos="720"/>
        </w:tabs>
        <w:ind w:left="180" w:firstLine="0"/>
        <w:rPr>
          <w:sz w:val="21"/>
          <w:szCs w:val="21"/>
        </w:rPr>
      </w:pPr>
      <w:r w:rsidRPr="00CD4425">
        <w:rPr>
          <w:sz w:val="21"/>
          <w:szCs w:val="21"/>
        </w:rPr>
        <w:t>You will write three papers in this course.   All essays must be typed or printed legibly on 8.5 x 11 white paper.  They must be turned in during class on the date that they are due.  I will reduce the grade by 10% for each 24 hour period a paper is late.  Students must complete each assignment to pass the course.</w:t>
      </w:r>
    </w:p>
    <w:p w14:paraId="6EB72591" w14:textId="77777777" w:rsidR="007942F5" w:rsidRPr="00CD4425" w:rsidRDefault="007942F5" w:rsidP="007942F5">
      <w:pPr>
        <w:tabs>
          <w:tab w:val="num" w:pos="180"/>
        </w:tabs>
        <w:ind w:left="180"/>
        <w:rPr>
          <w:sz w:val="21"/>
          <w:szCs w:val="21"/>
        </w:rPr>
      </w:pPr>
    </w:p>
    <w:p w14:paraId="03291BB3" w14:textId="77777777" w:rsidR="007942F5" w:rsidRPr="00CD4425" w:rsidRDefault="007942F5" w:rsidP="007942F5">
      <w:pPr>
        <w:numPr>
          <w:ilvl w:val="0"/>
          <w:numId w:val="1"/>
        </w:numPr>
        <w:tabs>
          <w:tab w:val="clear" w:pos="360"/>
          <w:tab w:val="num" w:pos="180"/>
          <w:tab w:val="num" w:pos="720"/>
        </w:tabs>
        <w:ind w:left="180" w:firstLine="0"/>
        <w:rPr>
          <w:sz w:val="21"/>
          <w:szCs w:val="21"/>
        </w:rPr>
      </w:pPr>
      <w:r w:rsidRPr="00CD4425">
        <w:rPr>
          <w:sz w:val="21"/>
          <w:szCs w:val="21"/>
        </w:rPr>
        <w:t>All essays must be printed legibly on 8.5 x 11 white paper.  They must be turned in during class on the date that they are due and also submitted to Canvas.  I will reduce the grade by 10% for each 24 hour period a paper is late.  Papers over 72 hours late risk failure, unless you’ve made prior arrangements with me.</w:t>
      </w:r>
      <w:r w:rsidRPr="00CD4425">
        <w:rPr>
          <w:sz w:val="21"/>
          <w:szCs w:val="21"/>
        </w:rPr>
        <w:br/>
      </w:r>
    </w:p>
    <w:p w14:paraId="7680C53A" w14:textId="0C4656E8" w:rsidR="00652577" w:rsidRPr="00CD4425" w:rsidRDefault="007942F5" w:rsidP="007942F5">
      <w:pPr>
        <w:numPr>
          <w:ilvl w:val="0"/>
          <w:numId w:val="1"/>
        </w:numPr>
        <w:tabs>
          <w:tab w:val="clear" w:pos="360"/>
          <w:tab w:val="num" w:pos="180"/>
          <w:tab w:val="num" w:pos="720"/>
        </w:tabs>
        <w:ind w:left="180" w:firstLine="0"/>
        <w:rPr>
          <w:sz w:val="21"/>
          <w:szCs w:val="21"/>
        </w:rPr>
      </w:pPr>
      <w:r w:rsidRPr="00CD4425">
        <w:rPr>
          <w:sz w:val="21"/>
          <w:szCs w:val="21"/>
        </w:rPr>
        <w:t xml:space="preserve">The College of New Jersey prohibits students from using the same paper for two different courses </w:t>
      </w:r>
      <w:r w:rsidRPr="00CD4425">
        <w:rPr>
          <w:i/>
          <w:sz w:val="21"/>
          <w:szCs w:val="21"/>
        </w:rPr>
        <w:t>unless the student receives written permission from both instructors</w:t>
      </w:r>
      <w:r w:rsidRPr="00CD4425">
        <w:rPr>
          <w:sz w:val="21"/>
          <w:szCs w:val="21"/>
        </w:rPr>
        <w:t>.  All work for this course must be done by you.  Please avoid plagiarism!  If you ever have questions about plagiarism or proper citation methods, please consult me.  All cases of plagiarism will be referred to the Academic Integrity Officer of the School of Humanities and Social Sciences.  They will also result in a zero grade for the paper and/ or a failure in the course.</w:t>
      </w:r>
      <w:r w:rsidRPr="00CD4425">
        <w:rPr>
          <w:sz w:val="21"/>
          <w:szCs w:val="21"/>
        </w:rPr>
        <w:br/>
      </w:r>
      <w:r w:rsidRPr="00CD4425">
        <w:rPr>
          <w:sz w:val="21"/>
          <w:szCs w:val="21"/>
        </w:rPr>
        <w:br/>
      </w:r>
      <w:r w:rsidRPr="00CD4425">
        <w:rPr>
          <w:iCs/>
          <w:sz w:val="21"/>
          <w:szCs w:val="21"/>
        </w:rPr>
        <w:t>Academic dishonesty is any attempt by the student to gain academic advantage through dishonest means, to submit, as his or her own, work which has not been done by him/her or to give improper aid to another student in the completion of an assignment. Such dishonesty would include, but is not limited to: submitting as his/her own a project, paper, report, test, or speech copied from, partially copied, or paraphrased from the work of another (whether the source is printed, under copyright, or in manuscript form). Credit must be given for words quoted or paraphrased. The rules apply to any form of academic dishonesty, whether the work is graded or ungraded, group or individual, written or oral.</w:t>
      </w:r>
      <w:r w:rsidRPr="00CD4425">
        <w:rPr>
          <w:sz w:val="21"/>
          <w:szCs w:val="21"/>
        </w:rPr>
        <w:t xml:space="preserve"> TCNJ’s academic integrity policy </w:t>
      </w:r>
      <w:r w:rsidRPr="00CD4425">
        <w:rPr>
          <w:iCs/>
          <w:sz w:val="21"/>
          <w:szCs w:val="21"/>
        </w:rPr>
        <w:t>is available on the web:</w:t>
      </w:r>
      <w:r w:rsidR="00EE2C6E" w:rsidRPr="00CD4425">
        <w:rPr>
          <w:sz w:val="21"/>
          <w:szCs w:val="21"/>
        </w:rPr>
        <w:t xml:space="preserve"> </w:t>
      </w:r>
      <w:hyperlink r:id="rId8" w:history="1">
        <w:r w:rsidR="00652577" w:rsidRPr="00CD4425">
          <w:rPr>
            <w:rStyle w:val="Hyperlink"/>
            <w:sz w:val="21"/>
            <w:szCs w:val="21"/>
          </w:rPr>
          <w:t>http://policies.tcnj.edu/policies/digest.php?docId=9394</w:t>
        </w:r>
      </w:hyperlink>
    </w:p>
    <w:p w14:paraId="5B18446B" w14:textId="0180C87E" w:rsidR="007942F5" w:rsidRPr="00CD4425" w:rsidRDefault="007942F5" w:rsidP="00652577">
      <w:pPr>
        <w:tabs>
          <w:tab w:val="num" w:pos="720"/>
        </w:tabs>
        <w:ind w:left="180"/>
        <w:rPr>
          <w:sz w:val="21"/>
          <w:szCs w:val="21"/>
        </w:rPr>
      </w:pPr>
    </w:p>
    <w:p w14:paraId="4D05A506" w14:textId="77777777" w:rsidR="007C4ECC" w:rsidRPr="00CD4425" w:rsidRDefault="007C4ECC" w:rsidP="007C4ECC">
      <w:pPr>
        <w:numPr>
          <w:ilvl w:val="0"/>
          <w:numId w:val="1"/>
        </w:numPr>
        <w:tabs>
          <w:tab w:val="clear" w:pos="360"/>
          <w:tab w:val="num" w:pos="180"/>
          <w:tab w:val="num" w:pos="720"/>
        </w:tabs>
        <w:ind w:left="180" w:firstLine="0"/>
        <w:rPr>
          <w:sz w:val="21"/>
          <w:szCs w:val="21"/>
        </w:rPr>
      </w:pPr>
      <w:r w:rsidRPr="00CD4425">
        <w:rPr>
          <w:sz w:val="21"/>
          <w:szCs w:val="21"/>
        </w:rPr>
        <w:t xml:space="preserve">Final Exam:  The course will culminate in a comprehensive final examination which will ask students to apply their knowledge of literary history to course texts.  The Registrar will announce details on the time and place of the exam later in the semester.  TCNJ’s Reading Days/ Final Exam policy is available on the web: </w:t>
      </w:r>
      <w:r w:rsidR="00D272E6" w:rsidRPr="00CD4425">
        <w:fldChar w:fldCharType="begin"/>
      </w:r>
      <w:r w:rsidR="00D272E6" w:rsidRPr="00CD4425">
        <w:rPr>
          <w:sz w:val="21"/>
          <w:szCs w:val="21"/>
        </w:rPr>
        <w:instrText xml:space="preserve"> HYPERLINK "http://policies.tcnj.edu/policies/digest.php?docId=9136" \t "_blank" </w:instrText>
      </w:r>
      <w:r w:rsidR="00D272E6" w:rsidRPr="00CD4425">
        <w:fldChar w:fldCharType="separate"/>
      </w:r>
      <w:r w:rsidRPr="00CD4425">
        <w:rPr>
          <w:rStyle w:val="Hyperlink"/>
          <w:sz w:val="21"/>
          <w:szCs w:val="21"/>
        </w:rPr>
        <w:t>http://policies.tcnj.edu/policies/digest.php?docId=9136</w:t>
      </w:r>
      <w:r w:rsidR="00D272E6" w:rsidRPr="00CD4425">
        <w:rPr>
          <w:rStyle w:val="Hyperlink"/>
          <w:sz w:val="21"/>
          <w:szCs w:val="21"/>
        </w:rPr>
        <w:fldChar w:fldCharType="end"/>
      </w:r>
      <w:r w:rsidRPr="00CD4425">
        <w:rPr>
          <w:sz w:val="21"/>
          <w:szCs w:val="21"/>
        </w:rPr>
        <w:t> </w:t>
      </w:r>
    </w:p>
    <w:p w14:paraId="6C98B417" w14:textId="77777777" w:rsidR="007C4ECC" w:rsidRPr="00CD4425" w:rsidRDefault="007C4ECC" w:rsidP="007C4ECC">
      <w:pPr>
        <w:tabs>
          <w:tab w:val="num" w:pos="720"/>
        </w:tabs>
        <w:ind w:left="180"/>
        <w:rPr>
          <w:sz w:val="21"/>
          <w:szCs w:val="21"/>
        </w:rPr>
      </w:pPr>
    </w:p>
    <w:p w14:paraId="3941B930" w14:textId="77777777" w:rsidR="007942F5" w:rsidRPr="00CD4425" w:rsidRDefault="007942F5" w:rsidP="007942F5">
      <w:pPr>
        <w:numPr>
          <w:ilvl w:val="0"/>
          <w:numId w:val="1"/>
        </w:numPr>
        <w:tabs>
          <w:tab w:val="clear" w:pos="360"/>
          <w:tab w:val="num" w:pos="180"/>
          <w:tab w:val="num" w:pos="720"/>
        </w:tabs>
        <w:ind w:left="180" w:firstLine="0"/>
        <w:rPr>
          <w:sz w:val="21"/>
          <w:szCs w:val="21"/>
        </w:rPr>
      </w:pPr>
      <w:r w:rsidRPr="00CD4425">
        <w:rPr>
          <w:sz w:val="21"/>
          <w:szCs w:val="21"/>
        </w:rPr>
        <w:t xml:space="preserve">The </w:t>
      </w:r>
      <w:r w:rsidR="00001D5F" w:rsidRPr="00CD4425">
        <w:rPr>
          <w:sz w:val="21"/>
          <w:szCs w:val="21"/>
        </w:rPr>
        <w:t>Tutoring</w:t>
      </w:r>
      <w:r w:rsidRPr="00CD4425">
        <w:rPr>
          <w:sz w:val="21"/>
          <w:szCs w:val="21"/>
        </w:rPr>
        <w:t xml:space="preserve"> Center in </w:t>
      </w:r>
      <w:r w:rsidR="00001D5F" w:rsidRPr="00CD4425">
        <w:rPr>
          <w:sz w:val="21"/>
          <w:szCs w:val="21"/>
        </w:rPr>
        <w:t>Roscoe West Hall, Suite 101</w:t>
      </w:r>
      <w:r w:rsidRPr="00CD4425">
        <w:rPr>
          <w:sz w:val="21"/>
          <w:szCs w:val="21"/>
        </w:rPr>
        <w:t xml:space="preserve">, is an excellent place to get help on your papers.  Call The Writer's Place at 771-3325 or see the hours at </w:t>
      </w:r>
      <w:hyperlink r:id="rId9" w:history="1">
        <w:r w:rsidRPr="00CD4425">
          <w:rPr>
            <w:color w:val="0000FF"/>
            <w:sz w:val="21"/>
            <w:szCs w:val="21"/>
            <w:u w:val="single"/>
          </w:rPr>
          <w:t>http://www.tcnj.edu/~tutoring/humanities/writing.html</w:t>
        </w:r>
      </w:hyperlink>
      <w:r w:rsidRPr="00CD4425">
        <w:rPr>
          <w:sz w:val="21"/>
          <w:szCs w:val="21"/>
        </w:rPr>
        <w:t>.</w:t>
      </w:r>
      <w:r w:rsidRPr="00CD4425">
        <w:rPr>
          <w:sz w:val="21"/>
          <w:szCs w:val="21"/>
        </w:rPr>
        <w:br/>
      </w:r>
    </w:p>
    <w:p w14:paraId="5815068D" w14:textId="77777777" w:rsidR="00652577" w:rsidRPr="00CD4425" w:rsidRDefault="007942F5" w:rsidP="00EE2C6E">
      <w:pPr>
        <w:numPr>
          <w:ilvl w:val="0"/>
          <w:numId w:val="1"/>
        </w:numPr>
        <w:tabs>
          <w:tab w:val="clear" w:pos="360"/>
          <w:tab w:val="num" w:pos="180"/>
          <w:tab w:val="num" w:pos="720"/>
        </w:tabs>
        <w:ind w:left="180" w:firstLine="0"/>
        <w:rPr>
          <w:sz w:val="21"/>
          <w:szCs w:val="21"/>
        </w:rPr>
      </w:pPr>
      <w:r w:rsidRPr="00CD4425">
        <w:rPr>
          <w:bCs/>
          <w:sz w:val="21"/>
          <w:szCs w:val="21"/>
        </w:rPr>
        <w:t xml:space="preserve">Any student who has a documented disability and is in need of academic accommodations should notify </w:t>
      </w:r>
      <w:r w:rsidR="00545859" w:rsidRPr="00CD4425">
        <w:rPr>
          <w:bCs/>
          <w:sz w:val="21"/>
          <w:szCs w:val="21"/>
        </w:rPr>
        <w:t>me</w:t>
      </w:r>
      <w:r w:rsidRPr="00CD4425">
        <w:rPr>
          <w:bCs/>
          <w:sz w:val="21"/>
          <w:szCs w:val="21"/>
        </w:rPr>
        <w:t xml:space="preserve"> and contact the Office of Differing Abilities Services (609-771-2571)</w:t>
      </w:r>
      <w:r w:rsidR="00EE2C6E" w:rsidRPr="00CD4425">
        <w:rPr>
          <w:bCs/>
          <w:sz w:val="21"/>
          <w:szCs w:val="21"/>
        </w:rPr>
        <w:t xml:space="preserve">  </w:t>
      </w:r>
      <w:r w:rsidR="00D272E6" w:rsidRPr="00CD4425">
        <w:rPr>
          <w:sz w:val="21"/>
          <w:szCs w:val="21"/>
        </w:rPr>
        <w:fldChar w:fldCharType="begin"/>
      </w:r>
      <w:r w:rsidR="00D272E6" w:rsidRPr="00CD4425">
        <w:rPr>
          <w:sz w:val="21"/>
          <w:szCs w:val="21"/>
        </w:rPr>
        <w:instrText xml:space="preserve"> HYPERLINK "http://differingabilities.pages.tcnj.edu/" \t "_blank" </w:instrText>
      </w:r>
      <w:r w:rsidR="00D272E6" w:rsidRPr="00CD4425">
        <w:rPr>
          <w:sz w:val="21"/>
          <w:szCs w:val="21"/>
        </w:rPr>
        <w:fldChar w:fldCharType="separate"/>
      </w:r>
      <w:r w:rsidR="00EE2C6E" w:rsidRPr="00CD4425">
        <w:rPr>
          <w:iCs/>
          <w:color w:val="0000FF"/>
          <w:sz w:val="21"/>
          <w:szCs w:val="21"/>
          <w:u w:val="single"/>
        </w:rPr>
        <w:t>http://differingabilities.pages.tcnj.edu/</w:t>
      </w:r>
      <w:r w:rsidR="00D272E6" w:rsidRPr="00CD4425">
        <w:rPr>
          <w:iCs/>
          <w:color w:val="0000FF"/>
          <w:sz w:val="21"/>
          <w:szCs w:val="21"/>
          <w:u w:val="single"/>
        </w:rPr>
        <w:fldChar w:fldCharType="end"/>
      </w:r>
      <w:r w:rsidRPr="00CD4425">
        <w:rPr>
          <w:bCs/>
          <w:sz w:val="21"/>
          <w:szCs w:val="21"/>
        </w:rPr>
        <w:t xml:space="preserve">. </w:t>
      </w:r>
      <w:r w:rsidR="00EE2C6E" w:rsidRPr="00CD4425">
        <w:rPr>
          <w:bCs/>
          <w:sz w:val="21"/>
          <w:szCs w:val="21"/>
        </w:rPr>
        <w:t xml:space="preserve"> </w:t>
      </w:r>
      <w:r w:rsidRPr="00CD4425">
        <w:rPr>
          <w:bCs/>
          <w:sz w:val="21"/>
          <w:szCs w:val="21"/>
        </w:rPr>
        <w:t>Accommodations are individualized and in accordance with Section 504 of the Rehabilitation Act of 1973 and the Americans with Disabilities Act of 1992.</w:t>
      </w:r>
      <w:r w:rsidRPr="00CD4425">
        <w:rPr>
          <w:sz w:val="21"/>
          <w:szCs w:val="21"/>
        </w:rPr>
        <w:t xml:space="preserve"> </w:t>
      </w:r>
      <w:r w:rsidR="00EE2C6E" w:rsidRPr="00CD4425">
        <w:rPr>
          <w:sz w:val="21"/>
          <w:szCs w:val="21"/>
        </w:rPr>
        <w:t xml:space="preserve"> </w:t>
      </w:r>
      <w:r w:rsidRPr="00CD4425">
        <w:rPr>
          <w:iCs/>
          <w:sz w:val="21"/>
          <w:szCs w:val="21"/>
        </w:rPr>
        <w:t xml:space="preserve">TCNJ’s </w:t>
      </w:r>
      <w:r w:rsidR="00EE2C6E" w:rsidRPr="00CD4425">
        <w:rPr>
          <w:iCs/>
          <w:sz w:val="21"/>
          <w:szCs w:val="21"/>
        </w:rPr>
        <w:t>ADA</w:t>
      </w:r>
      <w:r w:rsidRPr="00CD4425">
        <w:rPr>
          <w:iCs/>
          <w:sz w:val="21"/>
          <w:szCs w:val="21"/>
        </w:rPr>
        <w:t xml:space="preserve"> policy is available on the web: </w:t>
      </w:r>
      <w:r w:rsidR="00D272E6" w:rsidRPr="00CD4425">
        <w:fldChar w:fldCharType="begin"/>
      </w:r>
      <w:r w:rsidR="00D272E6" w:rsidRPr="00CD4425">
        <w:rPr>
          <w:sz w:val="21"/>
          <w:szCs w:val="21"/>
        </w:rPr>
        <w:instrText xml:space="preserve"> HYPERLINK "http://policies.tcnj.edu/policies/digest.php?docId=8082" \t "_blank" </w:instrText>
      </w:r>
      <w:r w:rsidR="00D272E6" w:rsidRPr="00CD4425">
        <w:fldChar w:fldCharType="separate"/>
      </w:r>
      <w:r w:rsidR="00EE2C6E" w:rsidRPr="00CD4425">
        <w:rPr>
          <w:rStyle w:val="Hyperlink"/>
          <w:sz w:val="21"/>
          <w:szCs w:val="21"/>
        </w:rPr>
        <w:t>http://policies.tcnj.edu/policies/digest.php?docId=8082</w:t>
      </w:r>
      <w:r w:rsidR="00D272E6" w:rsidRPr="00CD4425">
        <w:rPr>
          <w:rStyle w:val="Hyperlink"/>
          <w:sz w:val="21"/>
          <w:szCs w:val="21"/>
        </w:rPr>
        <w:fldChar w:fldCharType="end"/>
      </w:r>
      <w:r w:rsidR="00EE2C6E" w:rsidRPr="00CD4425">
        <w:rPr>
          <w:sz w:val="21"/>
          <w:szCs w:val="21"/>
        </w:rPr>
        <w:t xml:space="preserve">  </w:t>
      </w:r>
      <w:r w:rsidR="00652577" w:rsidRPr="00CD4425">
        <w:rPr>
          <w:sz w:val="21"/>
          <w:szCs w:val="21"/>
        </w:rPr>
        <w:br/>
      </w:r>
    </w:p>
    <w:p w14:paraId="616C934C" w14:textId="4A8A2143" w:rsidR="00652577" w:rsidRPr="00CD4425" w:rsidRDefault="00652577" w:rsidP="00652577">
      <w:pPr>
        <w:pStyle w:val="ListParagraph"/>
        <w:numPr>
          <w:ilvl w:val="0"/>
          <w:numId w:val="1"/>
        </w:numPr>
        <w:tabs>
          <w:tab w:val="clear" w:pos="360"/>
          <w:tab w:val="num" w:pos="0"/>
        </w:tabs>
        <w:ind w:left="180" w:firstLine="0"/>
        <w:rPr>
          <w:sz w:val="21"/>
          <w:szCs w:val="21"/>
        </w:rPr>
      </w:pPr>
      <w:r w:rsidRPr="00CD4425">
        <w:rPr>
          <w:color w:val="333333"/>
          <w:sz w:val="21"/>
          <w:szCs w:val="21"/>
          <w:shd w:val="clear" w:color="auto" w:fill="FDFCFA"/>
        </w:rPr>
        <w:t>The College of New Jersey Policy Prohibiting Discrimination in the Workplace/Educational Environment governs the college’s commitment to and expectations of having an environment that respects the diversity of all members of the campus community. The link to this policy is:</w:t>
      </w:r>
      <w:r w:rsidRPr="00CD4425">
        <w:rPr>
          <w:rStyle w:val="apple-converted-space"/>
          <w:color w:val="333333"/>
          <w:sz w:val="21"/>
          <w:szCs w:val="21"/>
          <w:shd w:val="clear" w:color="auto" w:fill="FDFCFA"/>
        </w:rPr>
        <w:t> </w:t>
      </w:r>
      <w:r w:rsidRPr="00CD4425">
        <w:rPr>
          <w:rStyle w:val="object"/>
          <w:color w:val="336699"/>
          <w:sz w:val="21"/>
          <w:szCs w:val="21"/>
          <w:shd w:val="clear" w:color="auto" w:fill="FDFCFA"/>
        </w:rPr>
        <w:fldChar w:fldCharType="begin"/>
      </w:r>
      <w:r w:rsidRPr="00CD4425">
        <w:rPr>
          <w:rStyle w:val="object"/>
          <w:color w:val="336699"/>
          <w:sz w:val="21"/>
          <w:szCs w:val="21"/>
          <w:shd w:val="clear" w:color="auto" w:fill="FDFCFA"/>
        </w:rPr>
        <w:instrText xml:space="preserve"> HYPERLINK "http://policies.tcnj.edu/policies/digest.php?docId=9122" \t "_blank" </w:instrText>
      </w:r>
      <w:r w:rsidRPr="00CD4425">
        <w:rPr>
          <w:rStyle w:val="object"/>
          <w:color w:val="336699"/>
          <w:sz w:val="21"/>
          <w:szCs w:val="21"/>
          <w:shd w:val="clear" w:color="auto" w:fill="FDFCFA"/>
        </w:rPr>
        <w:fldChar w:fldCharType="separate"/>
      </w:r>
      <w:r w:rsidRPr="00CD4425">
        <w:rPr>
          <w:rStyle w:val="Hyperlink"/>
          <w:color w:val="336699"/>
          <w:sz w:val="21"/>
          <w:szCs w:val="21"/>
          <w:shd w:val="clear" w:color="auto" w:fill="FDFCFA"/>
        </w:rPr>
        <w:t>http://policies.tcnj.edu/policies/digest.php?docId=9122</w:t>
      </w:r>
      <w:r w:rsidRPr="00CD4425">
        <w:rPr>
          <w:rStyle w:val="object"/>
          <w:color w:val="336699"/>
          <w:sz w:val="21"/>
          <w:szCs w:val="21"/>
          <w:shd w:val="clear" w:color="auto" w:fill="FDFCFA"/>
        </w:rPr>
        <w:fldChar w:fldCharType="end"/>
      </w:r>
      <w:r w:rsidRPr="00CD4425">
        <w:rPr>
          <w:color w:val="333333"/>
          <w:sz w:val="21"/>
          <w:szCs w:val="21"/>
          <w:shd w:val="clear" w:color="auto" w:fill="FDFCFA"/>
        </w:rPr>
        <w:t>. Under this policy, forms of discrimination or harassment based upon specific protected categories are prohibited and will not be tolerated.  If you wish to report a concern, please contact Kerri Thompson Tillett, Chief Diversity Officer, at 771-3139, or via email at</w:t>
      </w:r>
      <w:r w:rsidRPr="00CD4425">
        <w:rPr>
          <w:rStyle w:val="apple-converted-space"/>
          <w:color w:val="333333"/>
          <w:sz w:val="21"/>
          <w:szCs w:val="21"/>
          <w:shd w:val="clear" w:color="auto" w:fill="FDFCFA"/>
        </w:rPr>
        <w:t> </w:t>
      </w:r>
      <w:r w:rsidRPr="00CD4425">
        <w:rPr>
          <w:rStyle w:val="object"/>
          <w:color w:val="336699"/>
          <w:sz w:val="21"/>
          <w:szCs w:val="21"/>
          <w:shd w:val="clear" w:color="auto" w:fill="FDFCFA"/>
        </w:rPr>
        <w:t>thompsok@tcnj.edu.</w:t>
      </w:r>
      <w:r w:rsidRPr="00CD4425">
        <w:rPr>
          <w:rStyle w:val="apple-converted-space"/>
          <w:color w:val="333333"/>
          <w:sz w:val="21"/>
          <w:szCs w:val="21"/>
          <w:shd w:val="clear" w:color="auto" w:fill="FDFCFA"/>
        </w:rPr>
        <w:t> </w:t>
      </w:r>
    </w:p>
    <w:p w14:paraId="296A3065" w14:textId="302AD6D7" w:rsidR="00EE2C6E" w:rsidRPr="00CD4425" w:rsidRDefault="00EE2C6E" w:rsidP="00652577">
      <w:pPr>
        <w:tabs>
          <w:tab w:val="num" w:pos="720"/>
        </w:tabs>
        <w:ind w:left="180"/>
        <w:rPr>
          <w:sz w:val="21"/>
          <w:szCs w:val="21"/>
        </w:rPr>
      </w:pPr>
    </w:p>
    <w:p w14:paraId="69CF50E1" w14:textId="77777777" w:rsidR="007942F5" w:rsidRPr="00CD4425" w:rsidRDefault="007942F5" w:rsidP="00EE2C6E">
      <w:pPr>
        <w:numPr>
          <w:ilvl w:val="0"/>
          <w:numId w:val="1"/>
        </w:numPr>
        <w:tabs>
          <w:tab w:val="clear" w:pos="360"/>
          <w:tab w:val="num" w:pos="180"/>
          <w:tab w:val="num" w:pos="720"/>
        </w:tabs>
        <w:ind w:left="180" w:firstLine="0"/>
        <w:rPr>
          <w:sz w:val="21"/>
          <w:szCs w:val="21"/>
        </w:rPr>
      </w:pPr>
      <w:r w:rsidRPr="00CD4425">
        <w:rPr>
          <w:sz w:val="21"/>
          <w:szCs w:val="21"/>
        </w:rPr>
        <w:t>The breakdown in grading percentages is:</w:t>
      </w:r>
      <w:r w:rsidRPr="00CD4425">
        <w:rPr>
          <w:sz w:val="21"/>
          <w:szCs w:val="21"/>
        </w:rPr>
        <w:br/>
      </w:r>
      <w:r w:rsidRPr="00CD4425">
        <w:rPr>
          <w:sz w:val="21"/>
          <w:szCs w:val="21"/>
        </w:rPr>
        <w:br/>
      </w:r>
      <w:r w:rsidR="00EE2C6E" w:rsidRPr="00CD4425">
        <w:rPr>
          <w:sz w:val="21"/>
          <w:szCs w:val="21"/>
        </w:rPr>
        <w:t xml:space="preserve">   </w:t>
      </w:r>
      <w:r w:rsidRPr="00CD4425">
        <w:rPr>
          <w:sz w:val="21"/>
          <w:szCs w:val="21"/>
        </w:rPr>
        <w:t>1</w:t>
      </w:r>
      <w:r w:rsidR="00EE2C6E" w:rsidRPr="00CD4425">
        <w:rPr>
          <w:sz w:val="21"/>
          <w:szCs w:val="21"/>
        </w:rPr>
        <w:t>5</w:t>
      </w:r>
      <w:r w:rsidRPr="00CD4425">
        <w:rPr>
          <w:sz w:val="21"/>
          <w:szCs w:val="21"/>
        </w:rPr>
        <w:t>%</w:t>
      </w:r>
      <w:r w:rsidRPr="00CD4425">
        <w:rPr>
          <w:sz w:val="21"/>
          <w:szCs w:val="21"/>
        </w:rPr>
        <w:tab/>
        <w:t>Paper 1</w:t>
      </w:r>
    </w:p>
    <w:p w14:paraId="515EBECC" w14:textId="77777777" w:rsidR="007942F5" w:rsidRPr="00CD4425" w:rsidRDefault="007942F5" w:rsidP="007942F5">
      <w:pPr>
        <w:ind w:firstLine="360"/>
        <w:rPr>
          <w:sz w:val="21"/>
          <w:szCs w:val="21"/>
        </w:rPr>
      </w:pPr>
      <w:r w:rsidRPr="00CD4425">
        <w:rPr>
          <w:sz w:val="21"/>
          <w:szCs w:val="21"/>
        </w:rPr>
        <w:t>20%</w:t>
      </w:r>
      <w:r w:rsidRPr="00CD4425">
        <w:rPr>
          <w:sz w:val="21"/>
          <w:szCs w:val="21"/>
        </w:rPr>
        <w:tab/>
        <w:t>Paper 2</w:t>
      </w:r>
    </w:p>
    <w:p w14:paraId="3ACA8A00" w14:textId="154377A7" w:rsidR="007942F5" w:rsidRPr="00CD4425" w:rsidRDefault="00C004EF" w:rsidP="007942F5">
      <w:pPr>
        <w:ind w:firstLine="360"/>
        <w:rPr>
          <w:sz w:val="21"/>
          <w:szCs w:val="21"/>
        </w:rPr>
      </w:pPr>
      <w:r>
        <w:rPr>
          <w:sz w:val="21"/>
          <w:szCs w:val="21"/>
        </w:rPr>
        <w:t>30</w:t>
      </w:r>
      <w:r w:rsidR="007942F5" w:rsidRPr="00CD4425">
        <w:rPr>
          <w:sz w:val="21"/>
          <w:szCs w:val="21"/>
        </w:rPr>
        <w:t>%</w:t>
      </w:r>
      <w:r w:rsidR="007942F5" w:rsidRPr="00CD4425">
        <w:rPr>
          <w:sz w:val="21"/>
          <w:szCs w:val="21"/>
        </w:rPr>
        <w:tab/>
        <w:t>Paper 3</w:t>
      </w:r>
    </w:p>
    <w:p w14:paraId="071CFF70" w14:textId="5A842621" w:rsidR="007942F5" w:rsidRPr="00CD4425" w:rsidRDefault="007942F5" w:rsidP="007942F5">
      <w:pPr>
        <w:ind w:firstLine="360"/>
        <w:rPr>
          <w:sz w:val="21"/>
          <w:szCs w:val="21"/>
        </w:rPr>
      </w:pPr>
      <w:r w:rsidRPr="00CD4425">
        <w:rPr>
          <w:sz w:val="21"/>
          <w:szCs w:val="21"/>
        </w:rPr>
        <w:t>2</w:t>
      </w:r>
      <w:r w:rsidR="00C004EF">
        <w:rPr>
          <w:sz w:val="21"/>
          <w:szCs w:val="21"/>
        </w:rPr>
        <w:t>5</w:t>
      </w:r>
      <w:bookmarkStart w:id="0" w:name="_GoBack"/>
      <w:bookmarkEnd w:id="0"/>
      <w:r w:rsidRPr="00CD4425">
        <w:rPr>
          <w:sz w:val="21"/>
          <w:szCs w:val="21"/>
        </w:rPr>
        <w:t>%</w:t>
      </w:r>
      <w:r w:rsidRPr="00CD4425">
        <w:rPr>
          <w:sz w:val="21"/>
          <w:szCs w:val="21"/>
        </w:rPr>
        <w:tab/>
        <w:t>Final Exam</w:t>
      </w:r>
    </w:p>
    <w:p w14:paraId="7E803291" w14:textId="77777777" w:rsidR="007942F5" w:rsidRPr="00CD4425" w:rsidRDefault="007942F5" w:rsidP="007942F5">
      <w:pPr>
        <w:ind w:firstLine="360"/>
        <w:rPr>
          <w:sz w:val="21"/>
          <w:szCs w:val="21"/>
          <w:u w:val="single"/>
        </w:rPr>
      </w:pPr>
      <w:r w:rsidRPr="00CD4425">
        <w:rPr>
          <w:sz w:val="21"/>
          <w:szCs w:val="21"/>
          <w:u w:val="single"/>
        </w:rPr>
        <w:t>10%</w:t>
      </w:r>
      <w:r w:rsidRPr="00CD4425">
        <w:rPr>
          <w:sz w:val="21"/>
          <w:szCs w:val="21"/>
          <w:u w:val="single"/>
        </w:rPr>
        <w:tab/>
        <w:t>Class Participation</w:t>
      </w:r>
    </w:p>
    <w:p w14:paraId="1720DE70" w14:textId="77777777" w:rsidR="007942F5" w:rsidRPr="00CD4425" w:rsidRDefault="007942F5" w:rsidP="007942F5">
      <w:pPr>
        <w:rPr>
          <w:sz w:val="21"/>
          <w:szCs w:val="21"/>
          <w:u w:val="single"/>
        </w:rPr>
      </w:pPr>
    </w:p>
    <w:p w14:paraId="6302289B" w14:textId="77777777" w:rsidR="007942F5" w:rsidRPr="00CD4425" w:rsidRDefault="007942F5" w:rsidP="00D40B6B">
      <w:pPr>
        <w:tabs>
          <w:tab w:val="num" w:pos="360"/>
        </w:tabs>
        <w:ind w:left="360"/>
        <w:rPr>
          <w:sz w:val="21"/>
          <w:szCs w:val="21"/>
        </w:rPr>
      </w:pPr>
      <w:r w:rsidRPr="00CD4425">
        <w:rPr>
          <w:sz w:val="21"/>
          <w:szCs w:val="21"/>
        </w:rPr>
        <w:t>100%</w:t>
      </w:r>
      <w:r w:rsidRPr="00CD4425">
        <w:rPr>
          <w:sz w:val="21"/>
          <w:szCs w:val="21"/>
        </w:rPr>
        <w:tab/>
        <w:t>Total</w:t>
      </w:r>
      <w:r w:rsidRPr="00CD4425">
        <w:rPr>
          <w:sz w:val="21"/>
          <w:szCs w:val="21"/>
        </w:rPr>
        <w:br/>
      </w:r>
    </w:p>
    <w:p w14:paraId="64DCABCE" w14:textId="77777777" w:rsidR="007942F5" w:rsidRPr="00CD4425" w:rsidRDefault="00D40B6B" w:rsidP="007942F5">
      <w:pPr>
        <w:tabs>
          <w:tab w:val="num" w:pos="180"/>
        </w:tabs>
        <w:ind w:left="180"/>
        <w:rPr>
          <w:sz w:val="21"/>
          <w:szCs w:val="21"/>
        </w:rPr>
      </w:pPr>
      <w:r w:rsidRPr="00CD4425">
        <w:rPr>
          <w:sz w:val="21"/>
          <w:szCs w:val="21"/>
        </w:rPr>
        <w:t>9</w:t>
      </w:r>
      <w:r w:rsidR="007942F5" w:rsidRPr="00CD4425">
        <w:rPr>
          <w:sz w:val="21"/>
          <w:szCs w:val="21"/>
        </w:rPr>
        <w:t xml:space="preserve">)  </w:t>
      </w:r>
      <w:r w:rsidR="00CF566A" w:rsidRPr="00CD4425">
        <w:rPr>
          <w:sz w:val="21"/>
          <w:szCs w:val="21"/>
        </w:rPr>
        <w:tab/>
      </w:r>
      <w:r w:rsidR="007942F5" w:rsidRPr="00CD4425">
        <w:rPr>
          <w:sz w:val="21"/>
          <w:szCs w:val="21"/>
        </w:rPr>
        <w:t>The grading scale in this course incorporates the principle of “rounding up,” so further adjustments will not be made:</w:t>
      </w:r>
    </w:p>
    <w:p w14:paraId="00B7F474" w14:textId="77777777" w:rsidR="007942F5" w:rsidRPr="00CD4425" w:rsidRDefault="007942F5" w:rsidP="007942F5">
      <w:pPr>
        <w:tabs>
          <w:tab w:val="num" w:pos="180"/>
        </w:tabs>
        <w:ind w:left="180" w:right="-396"/>
        <w:rPr>
          <w:sz w:val="21"/>
          <w:szCs w:val="21"/>
        </w:rPr>
      </w:pPr>
    </w:p>
    <w:tbl>
      <w:tblPr>
        <w:tblW w:w="7665" w:type="dxa"/>
        <w:tblCellSpacing w:w="15" w:type="dxa"/>
        <w:tblLook w:val="04A0" w:firstRow="1" w:lastRow="0" w:firstColumn="1" w:lastColumn="0" w:noHBand="0" w:noVBand="1"/>
      </w:tblPr>
      <w:tblGrid>
        <w:gridCol w:w="4038"/>
        <w:gridCol w:w="3627"/>
      </w:tblGrid>
      <w:tr w:rsidR="007942F5" w:rsidRPr="00CD4425" w14:paraId="4C52F358" w14:textId="77777777" w:rsidTr="00D272E6">
        <w:trPr>
          <w:trHeight w:val="1305"/>
          <w:tblCellSpacing w:w="15" w:type="dxa"/>
        </w:trPr>
        <w:tc>
          <w:tcPr>
            <w:tcW w:w="3930" w:type="dxa"/>
            <w:tcMar>
              <w:top w:w="15" w:type="dxa"/>
              <w:left w:w="15" w:type="dxa"/>
              <w:bottom w:w="15" w:type="dxa"/>
              <w:right w:w="15" w:type="dxa"/>
            </w:tcMar>
            <w:vAlign w:val="center"/>
            <w:hideMark/>
          </w:tcPr>
          <w:p w14:paraId="2C29A7DC" w14:textId="2D010012" w:rsidR="007942F5" w:rsidRPr="00CD4425" w:rsidRDefault="007942F5" w:rsidP="0043550A">
            <w:pPr>
              <w:tabs>
                <w:tab w:val="num" w:pos="360"/>
              </w:tabs>
              <w:ind w:left="360" w:right="-396"/>
              <w:rPr>
                <w:sz w:val="21"/>
                <w:szCs w:val="21"/>
              </w:rPr>
            </w:pPr>
            <w:r w:rsidRPr="00CD4425">
              <w:rPr>
                <w:sz w:val="21"/>
                <w:szCs w:val="21"/>
              </w:rPr>
              <w:t>100 - 9</w:t>
            </w:r>
            <w:r w:rsidR="0043550A" w:rsidRPr="00CD4425">
              <w:rPr>
                <w:sz w:val="21"/>
                <w:szCs w:val="21"/>
              </w:rPr>
              <w:t>2</w:t>
            </w:r>
            <w:r w:rsidRPr="00CD4425">
              <w:rPr>
                <w:sz w:val="21"/>
                <w:szCs w:val="21"/>
              </w:rPr>
              <w:t>.</w:t>
            </w:r>
            <w:r w:rsidR="00B35886" w:rsidRPr="00CD4425">
              <w:rPr>
                <w:sz w:val="21"/>
                <w:szCs w:val="21"/>
              </w:rPr>
              <w:t>6</w:t>
            </w:r>
            <w:r w:rsidRPr="00CD4425">
              <w:rPr>
                <w:sz w:val="21"/>
                <w:szCs w:val="21"/>
              </w:rPr>
              <w:t xml:space="preserve"> % = A </w:t>
            </w:r>
            <w:r w:rsidRPr="00CD4425">
              <w:rPr>
                <w:sz w:val="21"/>
                <w:szCs w:val="21"/>
              </w:rPr>
              <w:br/>
              <w:t>9</w:t>
            </w:r>
            <w:r w:rsidR="0043550A" w:rsidRPr="00CD4425">
              <w:rPr>
                <w:sz w:val="21"/>
                <w:szCs w:val="21"/>
              </w:rPr>
              <w:t>2</w:t>
            </w:r>
            <w:r w:rsidRPr="00CD4425">
              <w:rPr>
                <w:sz w:val="21"/>
                <w:szCs w:val="21"/>
              </w:rPr>
              <w:t>.</w:t>
            </w:r>
            <w:r w:rsidR="00B35886" w:rsidRPr="00CD4425">
              <w:rPr>
                <w:sz w:val="21"/>
                <w:szCs w:val="21"/>
              </w:rPr>
              <w:t>5</w:t>
            </w:r>
            <w:r w:rsidRPr="00CD4425">
              <w:rPr>
                <w:sz w:val="21"/>
                <w:szCs w:val="21"/>
              </w:rPr>
              <w:t xml:space="preserve"> - 89.</w:t>
            </w:r>
            <w:r w:rsidR="00B35886" w:rsidRPr="00CD4425">
              <w:rPr>
                <w:sz w:val="21"/>
                <w:szCs w:val="21"/>
              </w:rPr>
              <w:t>6</w:t>
            </w:r>
            <w:r w:rsidRPr="00CD4425">
              <w:rPr>
                <w:sz w:val="21"/>
                <w:szCs w:val="21"/>
              </w:rPr>
              <w:t xml:space="preserve"> %  = A- </w:t>
            </w:r>
            <w:r w:rsidRPr="00CD4425">
              <w:rPr>
                <w:sz w:val="21"/>
                <w:szCs w:val="21"/>
              </w:rPr>
              <w:br/>
              <w:t>89.</w:t>
            </w:r>
            <w:r w:rsidR="00963370" w:rsidRPr="00CD4425">
              <w:rPr>
                <w:sz w:val="21"/>
                <w:szCs w:val="21"/>
              </w:rPr>
              <w:t>5</w:t>
            </w:r>
            <w:r w:rsidRPr="00CD4425">
              <w:rPr>
                <w:sz w:val="21"/>
                <w:szCs w:val="21"/>
              </w:rPr>
              <w:t xml:space="preserve"> - 86.</w:t>
            </w:r>
            <w:r w:rsidR="00B35886" w:rsidRPr="00CD4425">
              <w:rPr>
                <w:sz w:val="21"/>
                <w:szCs w:val="21"/>
              </w:rPr>
              <w:t>6</w:t>
            </w:r>
            <w:r w:rsidRPr="00CD4425">
              <w:rPr>
                <w:sz w:val="21"/>
                <w:szCs w:val="21"/>
              </w:rPr>
              <w:t xml:space="preserve"> % = B+ </w:t>
            </w:r>
            <w:r w:rsidRPr="00CD4425">
              <w:rPr>
                <w:sz w:val="21"/>
                <w:szCs w:val="21"/>
              </w:rPr>
              <w:br/>
              <w:t>86.</w:t>
            </w:r>
            <w:r w:rsidR="00963370" w:rsidRPr="00CD4425">
              <w:rPr>
                <w:sz w:val="21"/>
                <w:szCs w:val="21"/>
              </w:rPr>
              <w:t>5</w:t>
            </w:r>
            <w:r w:rsidRPr="00CD4425">
              <w:rPr>
                <w:sz w:val="21"/>
                <w:szCs w:val="21"/>
              </w:rPr>
              <w:t xml:space="preserve"> - 8</w:t>
            </w:r>
            <w:r w:rsidR="0043550A" w:rsidRPr="00CD4425">
              <w:rPr>
                <w:sz w:val="21"/>
                <w:szCs w:val="21"/>
              </w:rPr>
              <w:t>2</w:t>
            </w:r>
            <w:r w:rsidRPr="00CD4425">
              <w:rPr>
                <w:sz w:val="21"/>
                <w:szCs w:val="21"/>
              </w:rPr>
              <w:t>.</w:t>
            </w:r>
            <w:r w:rsidR="00963370" w:rsidRPr="00CD4425">
              <w:rPr>
                <w:sz w:val="21"/>
                <w:szCs w:val="21"/>
              </w:rPr>
              <w:t>6</w:t>
            </w:r>
            <w:r w:rsidRPr="00CD4425">
              <w:rPr>
                <w:sz w:val="21"/>
                <w:szCs w:val="21"/>
              </w:rPr>
              <w:t xml:space="preserve"> % = B </w:t>
            </w:r>
            <w:r w:rsidRPr="00CD4425">
              <w:rPr>
                <w:sz w:val="21"/>
                <w:szCs w:val="21"/>
              </w:rPr>
              <w:br/>
              <w:t>8</w:t>
            </w:r>
            <w:r w:rsidR="0043550A" w:rsidRPr="00CD4425">
              <w:rPr>
                <w:sz w:val="21"/>
                <w:szCs w:val="21"/>
              </w:rPr>
              <w:t>2</w:t>
            </w:r>
            <w:r w:rsidRPr="00CD4425">
              <w:rPr>
                <w:sz w:val="21"/>
                <w:szCs w:val="21"/>
              </w:rPr>
              <w:t>.</w:t>
            </w:r>
            <w:r w:rsidR="00963370" w:rsidRPr="00CD4425">
              <w:rPr>
                <w:sz w:val="21"/>
                <w:szCs w:val="21"/>
              </w:rPr>
              <w:t>5</w:t>
            </w:r>
            <w:r w:rsidRPr="00CD4425">
              <w:rPr>
                <w:sz w:val="21"/>
                <w:szCs w:val="21"/>
              </w:rPr>
              <w:t xml:space="preserve"> - 79.</w:t>
            </w:r>
            <w:r w:rsidR="00963370" w:rsidRPr="00CD4425">
              <w:rPr>
                <w:sz w:val="21"/>
                <w:szCs w:val="21"/>
              </w:rPr>
              <w:t>6</w:t>
            </w:r>
            <w:r w:rsidRPr="00CD4425">
              <w:rPr>
                <w:sz w:val="21"/>
                <w:szCs w:val="21"/>
              </w:rPr>
              <w:t xml:space="preserve"> % = B- </w:t>
            </w:r>
          </w:p>
        </w:tc>
        <w:tc>
          <w:tcPr>
            <w:tcW w:w="3525" w:type="dxa"/>
            <w:tcMar>
              <w:top w:w="15" w:type="dxa"/>
              <w:left w:w="15" w:type="dxa"/>
              <w:bottom w:w="15" w:type="dxa"/>
              <w:right w:w="15" w:type="dxa"/>
            </w:tcMar>
            <w:vAlign w:val="center"/>
            <w:hideMark/>
          </w:tcPr>
          <w:p w14:paraId="551972B9" w14:textId="2C435744" w:rsidR="007942F5" w:rsidRPr="00CD4425" w:rsidRDefault="007942F5" w:rsidP="0043550A">
            <w:pPr>
              <w:tabs>
                <w:tab w:val="num" w:pos="360"/>
              </w:tabs>
              <w:ind w:left="360" w:right="-396"/>
              <w:rPr>
                <w:sz w:val="21"/>
                <w:szCs w:val="21"/>
              </w:rPr>
            </w:pPr>
            <w:r w:rsidRPr="00CD4425">
              <w:rPr>
                <w:sz w:val="21"/>
                <w:szCs w:val="21"/>
              </w:rPr>
              <w:t>79.</w:t>
            </w:r>
            <w:r w:rsidR="00963370" w:rsidRPr="00CD4425">
              <w:rPr>
                <w:sz w:val="21"/>
                <w:szCs w:val="21"/>
              </w:rPr>
              <w:t>5</w:t>
            </w:r>
            <w:r w:rsidRPr="00CD4425">
              <w:rPr>
                <w:sz w:val="21"/>
                <w:szCs w:val="21"/>
              </w:rPr>
              <w:t xml:space="preserve"> - 76.</w:t>
            </w:r>
            <w:r w:rsidR="00963370" w:rsidRPr="00CD4425">
              <w:rPr>
                <w:sz w:val="21"/>
                <w:szCs w:val="21"/>
              </w:rPr>
              <w:t>6</w:t>
            </w:r>
            <w:r w:rsidRPr="00CD4425">
              <w:rPr>
                <w:sz w:val="21"/>
                <w:szCs w:val="21"/>
              </w:rPr>
              <w:t xml:space="preserve"> % = C+ </w:t>
            </w:r>
            <w:r w:rsidRPr="00CD4425">
              <w:rPr>
                <w:sz w:val="21"/>
                <w:szCs w:val="21"/>
              </w:rPr>
              <w:br/>
              <w:t>76.</w:t>
            </w:r>
            <w:r w:rsidR="00963370" w:rsidRPr="00CD4425">
              <w:rPr>
                <w:sz w:val="21"/>
                <w:szCs w:val="21"/>
              </w:rPr>
              <w:t>5</w:t>
            </w:r>
            <w:r w:rsidRPr="00CD4425">
              <w:rPr>
                <w:sz w:val="21"/>
                <w:szCs w:val="21"/>
              </w:rPr>
              <w:t xml:space="preserve"> - 7</w:t>
            </w:r>
            <w:r w:rsidR="0043550A" w:rsidRPr="00CD4425">
              <w:rPr>
                <w:sz w:val="21"/>
                <w:szCs w:val="21"/>
              </w:rPr>
              <w:t>2</w:t>
            </w:r>
            <w:r w:rsidRPr="00CD4425">
              <w:rPr>
                <w:sz w:val="21"/>
                <w:szCs w:val="21"/>
              </w:rPr>
              <w:t>.</w:t>
            </w:r>
            <w:r w:rsidR="00963370" w:rsidRPr="00CD4425">
              <w:rPr>
                <w:sz w:val="21"/>
                <w:szCs w:val="21"/>
              </w:rPr>
              <w:t>6</w:t>
            </w:r>
            <w:r w:rsidRPr="00CD4425">
              <w:rPr>
                <w:sz w:val="21"/>
                <w:szCs w:val="21"/>
              </w:rPr>
              <w:t xml:space="preserve"> % = C </w:t>
            </w:r>
            <w:r w:rsidRPr="00CD4425">
              <w:rPr>
                <w:sz w:val="21"/>
                <w:szCs w:val="21"/>
              </w:rPr>
              <w:br/>
              <w:t>7</w:t>
            </w:r>
            <w:r w:rsidR="0043550A" w:rsidRPr="00CD4425">
              <w:rPr>
                <w:sz w:val="21"/>
                <w:szCs w:val="21"/>
              </w:rPr>
              <w:t>2</w:t>
            </w:r>
            <w:r w:rsidRPr="00CD4425">
              <w:rPr>
                <w:sz w:val="21"/>
                <w:szCs w:val="21"/>
              </w:rPr>
              <w:t>.</w:t>
            </w:r>
            <w:r w:rsidR="00963370" w:rsidRPr="00CD4425">
              <w:rPr>
                <w:sz w:val="21"/>
                <w:szCs w:val="21"/>
              </w:rPr>
              <w:t>5</w:t>
            </w:r>
            <w:r w:rsidRPr="00CD4425">
              <w:rPr>
                <w:sz w:val="21"/>
                <w:szCs w:val="21"/>
              </w:rPr>
              <w:t xml:space="preserve"> - 69.</w:t>
            </w:r>
            <w:r w:rsidR="00963370" w:rsidRPr="00CD4425">
              <w:rPr>
                <w:sz w:val="21"/>
                <w:szCs w:val="21"/>
              </w:rPr>
              <w:t>6</w:t>
            </w:r>
            <w:r w:rsidRPr="00CD4425">
              <w:rPr>
                <w:sz w:val="21"/>
                <w:szCs w:val="21"/>
              </w:rPr>
              <w:t xml:space="preserve"> % = C- </w:t>
            </w:r>
            <w:r w:rsidRPr="00CD4425">
              <w:rPr>
                <w:sz w:val="21"/>
                <w:szCs w:val="21"/>
              </w:rPr>
              <w:br/>
              <w:t>69.</w:t>
            </w:r>
            <w:r w:rsidR="00963370" w:rsidRPr="00CD4425">
              <w:rPr>
                <w:sz w:val="21"/>
                <w:szCs w:val="21"/>
              </w:rPr>
              <w:t>5</w:t>
            </w:r>
            <w:r w:rsidRPr="00CD4425">
              <w:rPr>
                <w:sz w:val="21"/>
                <w:szCs w:val="21"/>
              </w:rPr>
              <w:t xml:space="preserve"> – 64.</w:t>
            </w:r>
            <w:r w:rsidR="00963370" w:rsidRPr="00CD4425">
              <w:rPr>
                <w:sz w:val="21"/>
                <w:szCs w:val="21"/>
              </w:rPr>
              <w:t>6 % = D </w:t>
            </w:r>
            <w:r w:rsidR="00963370" w:rsidRPr="00CD4425">
              <w:rPr>
                <w:sz w:val="21"/>
                <w:szCs w:val="21"/>
              </w:rPr>
              <w:br/>
              <w:t>64.5</w:t>
            </w:r>
            <w:r w:rsidRPr="00CD4425">
              <w:rPr>
                <w:sz w:val="21"/>
                <w:szCs w:val="21"/>
              </w:rPr>
              <w:t xml:space="preserve">-0 % = F </w:t>
            </w:r>
          </w:p>
        </w:tc>
      </w:tr>
    </w:tbl>
    <w:p w14:paraId="2823C5A2" w14:textId="77777777" w:rsidR="00001D5F" w:rsidRPr="00CD4425" w:rsidRDefault="00001D5F" w:rsidP="000431E5">
      <w:pPr>
        <w:tabs>
          <w:tab w:val="num" w:pos="180"/>
        </w:tabs>
        <w:rPr>
          <w:sz w:val="21"/>
          <w:szCs w:val="21"/>
        </w:rPr>
      </w:pPr>
    </w:p>
    <w:p w14:paraId="7F619F1B" w14:textId="77777777" w:rsidR="007C4ECC" w:rsidRPr="00CD4425" w:rsidRDefault="00EB0BF7" w:rsidP="007C4ECC">
      <w:pPr>
        <w:tabs>
          <w:tab w:val="num" w:pos="180"/>
        </w:tabs>
        <w:ind w:left="180"/>
        <w:rPr>
          <w:sz w:val="21"/>
          <w:szCs w:val="21"/>
        </w:rPr>
      </w:pPr>
      <w:r w:rsidRPr="00CD4425">
        <w:rPr>
          <w:sz w:val="21"/>
          <w:szCs w:val="21"/>
        </w:rPr>
        <w:t>1</w:t>
      </w:r>
      <w:r w:rsidR="00D40B6B" w:rsidRPr="00CD4425">
        <w:rPr>
          <w:sz w:val="21"/>
          <w:szCs w:val="21"/>
        </w:rPr>
        <w:t>0</w:t>
      </w:r>
      <w:r w:rsidRPr="00CD4425">
        <w:rPr>
          <w:sz w:val="21"/>
          <w:szCs w:val="21"/>
        </w:rPr>
        <w:t xml:space="preserve">)  </w:t>
      </w:r>
      <w:r w:rsidR="00CF566A" w:rsidRPr="00CD4425">
        <w:rPr>
          <w:sz w:val="21"/>
          <w:szCs w:val="21"/>
        </w:rPr>
        <w:tab/>
      </w:r>
      <w:r w:rsidR="008F0FA0" w:rsidRPr="00CD4425">
        <w:rPr>
          <w:sz w:val="21"/>
          <w:szCs w:val="21"/>
        </w:rPr>
        <w:t xml:space="preserve">A syllabus is </w:t>
      </w:r>
      <w:r w:rsidR="00114F55" w:rsidRPr="00CD4425">
        <w:rPr>
          <w:sz w:val="21"/>
          <w:szCs w:val="21"/>
        </w:rPr>
        <w:t xml:space="preserve">a </w:t>
      </w:r>
      <w:r w:rsidR="008F0FA0" w:rsidRPr="00CD4425">
        <w:rPr>
          <w:sz w:val="21"/>
          <w:szCs w:val="21"/>
        </w:rPr>
        <w:t xml:space="preserve">plan not a contract.  While </w:t>
      </w:r>
      <w:r w:rsidR="00545859" w:rsidRPr="00CD4425">
        <w:rPr>
          <w:sz w:val="21"/>
          <w:szCs w:val="21"/>
        </w:rPr>
        <w:t xml:space="preserve">we </w:t>
      </w:r>
      <w:r w:rsidR="008F0FA0" w:rsidRPr="00CD4425">
        <w:rPr>
          <w:sz w:val="21"/>
          <w:szCs w:val="21"/>
        </w:rPr>
        <w:t xml:space="preserve">will make every effort to follow this schedule, I </w:t>
      </w:r>
      <w:r w:rsidRPr="00CD4425">
        <w:rPr>
          <w:sz w:val="21"/>
          <w:szCs w:val="21"/>
        </w:rPr>
        <w:t xml:space="preserve">reserve the right to alter the </w:t>
      </w:r>
      <w:r w:rsidR="00334EFE" w:rsidRPr="00CD4425">
        <w:rPr>
          <w:sz w:val="21"/>
          <w:szCs w:val="21"/>
        </w:rPr>
        <w:t xml:space="preserve">due </w:t>
      </w:r>
      <w:r w:rsidRPr="00CD4425">
        <w:rPr>
          <w:sz w:val="21"/>
          <w:szCs w:val="21"/>
        </w:rPr>
        <w:t>da</w:t>
      </w:r>
      <w:r w:rsidR="00334EFE" w:rsidRPr="00CD4425">
        <w:rPr>
          <w:sz w:val="21"/>
          <w:szCs w:val="21"/>
        </w:rPr>
        <w:t>tes of assignments, to clarify and modify</w:t>
      </w:r>
      <w:r w:rsidR="005271E3" w:rsidRPr="00CD4425">
        <w:rPr>
          <w:sz w:val="21"/>
          <w:szCs w:val="21"/>
        </w:rPr>
        <w:t xml:space="preserve"> the nature and length of</w:t>
      </w:r>
      <w:r w:rsidR="00334EFE" w:rsidRPr="00CD4425">
        <w:rPr>
          <w:sz w:val="21"/>
          <w:szCs w:val="21"/>
        </w:rPr>
        <w:t xml:space="preserve"> assignments, and to include unannounced assessments in order</w:t>
      </w:r>
      <w:r w:rsidRPr="00CD4425">
        <w:rPr>
          <w:sz w:val="21"/>
          <w:szCs w:val="21"/>
        </w:rPr>
        <w:t xml:space="preserve"> to </w:t>
      </w:r>
      <w:r w:rsidR="00334EFE" w:rsidRPr="00CD4425">
        <w:rPr>
          <w:sz w:val="21"/>
          <w:szCs w:val="21"/>
        </w:rPr>
        <w:t>meet</w:t>
      </w:r>
      <w:r w:rsidRPr="00CD4425">
        <w:rPr>
          <w:sz w:val="21"/>
          <w:szCs w:val="21"/>
        </w:rPr>
        <w:t xml:space="preserve"> the educational goals of this course.  </w:t>
      </w:r>
    </w:p>
    <w:p w14:paraId="5F21C50B" w14:textId="77777777" w:rsidR="007C4ECC" w:rsidRPr="00CD4425" w:rsidRDefault="007C4ECC" w:rsidP="007C4ECC">
      <w:pPr>
        <w:tabs>
          <w:tab w:val="num" w:pos="180"/>
        </w:tabs>
        <w:ind w:left="180"/>
        <w:rPr>
          <w:sz w:val="21"/>
          <w:szCs w:val="21"/>
        </w:rPr>
      </w:pPr>
    </w:p>
    <w:p w14:paraId="2D91291D" w14:textId="3D4EA5B9" w:rsidR="007C4ECC" w:rsidRPr="00CD4425" w:rsidRDefault="007C4ECC" w:rsidP="007C4ECC">
      <w:pPr>
        <w:tabs>
          <w:tab w:val="num" w:pos="180"/>
        </w:tabs>
        <w:ind w:left="180"/>
        <w:rPr>
          <w:sz w:val="21"/>
          <w:szCs w:val="21"/>
        </w:rPr>
      </w:pPr>
      <w:r w:rsidRPr="00CD4425">
        <w:rPr>
          <w:sz w:val="21"/>
          <w:szCs w:val="21"/>
        </w:rPr>
        <w:t xml:space="preserve">11) </w:t>
      </w:r>
      <w:r w:rsidR="0012729C" w:rsidRPr="00CD4425">
        <w:rPr>
          <w:sz w:val="21"/>
          <w:szCs w:val="21"/>
        </w:rPr>
        <w:tab/>
      </w:r>
      <w:r w:rsidRPr="00CD4425">
        <w:rPr>
          <w:sz w:val="21"/>
          <w:szCs w:val="21"/>
        </w:rPr>
        <w:t xml:space="preserve">Literature gains some of its power from its ability to explore the extremes of human relationships.  The writers in this course address a wide range of experiences that range from the reflective to the traumatic and from the socially acceptable to the morally grotesque.  If you are anxious about your personal response to these </w:t>
      </w:r>
      <w:r w:rsidR="00321B51" w:rsidRPr="00CD4425">
        <w:rPr>
          <w:sz w:val="21"/>
          <w:szCs w:val="21"/>
        </w:rPr>
        <w:t>works</w:t>
      </w:r>
      <w:r w:rsidRPr="00CD4425">
        <w:rPr>
          <w:sz w:val="21"/>
          <w:szCs w:val="21"/>
        </w:rPr>
        <w:t xml:space="preserve">, you should consider whether this course is appropriate for you.   My expectation is that every student will complete every one of the assigned readings and be prepared to </w:t>
      </w:r>
      <w:r w:rsidR="00FC1374" w:rsidRPr="00CD4425">
        <w:rPr>
          <w:sz w:val="21"/>
          <w:szCs w:val="21"/>
        </w:rPr>
        <w:t>listen to discussions about them</w:t>
      </w:r>
      <w:r w:rsidRPr="00CD4425">
        <w:rPr>
          <w:sz w:val="21"/>
          <w:szCs w:val="21"/>
        </w:rPr>
        <w:t xml:space="preserve"> in class.</w:t>
      </w:r>
    </w:p>
    <w:p w14:paraId="34E30983" w14:textId="77777777" w:rsidR="00EB0BF7" w:rsidRPr="00CD4425" w:rsidRDefault="00EB0BF7" w:rsidP="007942F5">
      <w:pPr>
        <w:tabs>
          <w:tab w:val="num" w:pos="180"/>
        </w:tabs>
        <w:ind w:left="180"/>
        <w:rPr>
          <w:sz w:val="21"/>
          <w:szCs w:val="21"/>
        </w:rPr>
      </w:pPr>
    </w:p>
    <w:p w14:paraId="04F0C77A" w14:textId="77777777" w:rsidR="007942F5" w:rsidRPr="00CD4425" w:rsidRDefault="007942F5" w:rsidP="007942F5">
      <w:pPr>
        <w:tabs>
          <w:tab w:val="num" w:pos="180"/>
        </w:tabs>
        <w:ind w:left="180"/>
        <w:rPr>
          <w:sz w:val="21"/>
          <w:szCs w:val="21"/>
        </w:rPr>
      </w:pPr>
      <w:r w:rsidRPr="00CD4425">
        <w:rPr>
          <w:sz w:val="21"/>
          <w:szCs w:val="21"/>
        </w:rPr>
        <w:t>1</w:t>
      </w:r>
      <w:r w:rsidR="007C4ECC" w:rsidRPr="00CD4425">
        <w:rPr>
          <w:sz w:val="21"/>
          <w:szCs w:val="21"/>
        </w:rPr>
        <w:t>2</w:t>
      </w:r>
      <w:r w:rsidRPr="00CD4425">
        <w:rPr>
          <w:sz w:val="21"/>
          <w:szCs w:val="21"/>
        </w:rPr>
        <w:t xml:space="preserve">)  </w:t>
      </w:r>
      <w:r w:rsidR="0012729C" w:rsidRPr="00CD4425">
        <w:rPr>
          <w:sz w:val="21"/>
          <w:szCs w:val="21"/>
        </w:rPr>
        <w:tab/>
      </w:r>
      <w:r w:rsidRPr="00CD4425">
        <w:rPr>
          <w:sz w:val="21"/>
          <w:szCs w:val="21"/>
        </w:rPr>
        <w:t xml:space="preserve">Please feel free to come by my office if you have questions you’d like to ask about the class.  The best way to contact me is by e-mail – </w:t>
      </w:r>
      <w:hyperlink r:id="rId10" w:history="1">
        <w:r w:rsidRPr="00CD4425">
          <w:rPr>
            <w:color w:val="0000FF"/>
            <w:sz w:val="21"/>
            <w:szCs w:val="21"/>
            <w:u w:val="single"/>
          </w:rPr>
          <w:t>blake@tcnj.edu</w:t>
        </w:r>
      </w:hyperlink>
      <w:r w:rsidRPr="00CD4425">
        <w:rPr>
          <w:color w:val="0000FF"/>
          <w:sz w:val="21"/>
          <w:szCs w:val="21"/>
          <w:u w:val="single"/>
        </w:rPr>
        <w:t>.</w:t>
      </w:r>
      <w:r w:rsidRPr="00CD4425">
        <w:rPr>
          <w:sz w:val="21"/>
          <w:szCs w:val="21"/>
        </w:rPr>
        <w:t xml:space="preserve">  I check my mail regularly and expect you to do the same.</w:t>
      </w:r>
    </w:p>
    <w:p w14:paraId="2421417A" w14:textId="77777777" w:rsidR="007942F5" w:rsidRPr="00CD4425" w:rsidRDefault="007942F5" w:rsidP="007942F5">
      <w:pPr>
        <w:jc w:val="center"/>
        <w:rPr>
          <w:sz w:val="21"/>
          <w:szCs w:val="21"/>
          <w:lang w:val="en-CA"/>
        </w:rPr>
      </w:pPr>
    </w:p>
    <w:p w14:paraId="2AD9BAF7" w14:textId="500D50F2" w:rsidR="007942F5" w:rsidRPr="007942F5" w:rsidRDefault="007942F5" w:rsidP="007942F5">
      <w:pPr>
        <w:jc w:val="center"/>
        <w:rPr>
          <w:b/>
          <w:sz w:val="22"/>
          <w:lang w:val="en-CA"/>
        </w:rPr>
      </w:pPr>
      <w:r w:rsidRPr="007942F5">
        <w:rPr>
          <w:sz w:val="22"/>
          <w:szCs w:val="22"/>
          <w:lang w:val="en-CA"/>
        </w:rPr>
        <w:br w:type="page"/>
      </w:r>
      <w:r w:rsidRPr="007942F5">
        <w:rPr>
          <w:b/>
          <w:sz w:val="22"/>
          <w:lang w:val="en-CA"/>
        </w:rPr>
        <w:lastRenderedPageBreak/>
        <w:t xml:space="preserve">LIT </w:t>
      </w:r>
      <w:r w:rsidR="00EE2C6E">
        <w:rPr>
          <w:b/>
          <w:sz w:val="22"/>
          <w:lang w:val="en-CA"/>
        </w:rPr>
        <w:t>376</w:t>
      </w:r>
      <w:r w:rsidRPr="007942F5">
        <w:rPr>
          <w:b/>
          <w:sz w:val="22"/>
          <w:lang w:val="en-CA"/>
        </w:rPr>
        <w:t xml:space="preserve">/ </w:t>
      </w:r>
      <w:r w:rsidR="00EE2C6E">
        <w:rPr>
          <w:b/>
          <w:sz w:val="22"/>
          <w:lang w:val="en-CA"/>
        </w:rPr>
        <w:t>U.S. Literature Since 1900</w:t>
      </w:r>
      <w:r w:rsidRPr="007942F5">
        <w:rPr>
          <w:b/>
          <w:sz w:val="22"/>
          <w:lang w:val="en-CA"/>
        </w:rPr>
        <w:t xml:space="preserve">, </w:t>
      </w:r>
      <w:r w:rsidR="00EE2C6E">
        <w:rPr>
          <w:b/>
          <w:sz w:val="22"/>
          <w:lang w:val="en-CA"/>
        </w:rPr>
        <w:t>Fall</w:t>
      </w:r>
      <w:r w:rsidRPr="007942F5">
        <w:rPr>
          <w:b/>
          <w:sz w:val="22"/>
          <w:lang w:val="en-CA"/>
        </w:rPr>
        <w:t xml:space="preserve"> 201</w:t>
      </w:r>
      <w:r w:rsidR="00C92AD7">
        <w:rPr>
          <w:b/>
          <w:sz w:val="22"/>
          <w:lang w:val="en-CA"/>
        </w:rPr>
        <w:t>5</w:t>
      </w:r>
    </w:p>
    <w:p w14:paraId="7DE660CE" w14:textId="77777777" w:rsidR="007942F5" w:rsidRPr="007942F5" w:rsidRDefault="007942F5" w:rsidP="007942F5">
      <w:pPr>
        <w:jc w:val="center"/>
        <w:rPr>
          <w:b/>
          <w:sz w:val="22"/>
          <w:lang w:val="en-CA"/>
        </w:rPr>
      </w:pPr>
      <w:r w:rsidRPr="007942F5">
        <w:rPr>
          <w:b/>
          <w:sz w:val="22"/>
          <w:lang w:val="en-CA"/>
        </w:rPr>
        <w:t>Department, School, and College Goals and Policies</w:t>
      </w:r>
    </w:p>
    <w:p w14:paraId="0A1CBF31" w14:textId="77777777" w:rsidR="007942F5" w:rsidRPr="007942F5" w:rsidRDefault="007942F5" w:rsidP="007942F5">
      <w:pPr>
        <w:jc w:val="both"/>
        <w:rPr>
          <w:sz w:val="22"/>
        </w:rPr>
      </w:pPr>
    </w:p>
    <w:p w14:paraId="0BDF7420" w14:textId="77777777" w:rsidR="004E6A20" w:rsidRPr="004E6A20" w:rsidRDefault="007942F5" w:rsidP="004E6A20">
      <w:pPr>
        <w:jc w:val="both"/>
        <w:rPr>
          <w:sz w:val="22"/>
        </w:rPr>
      </w:pPr>
      <w:r w:rsidRPr="007942F5">
        <w:rPr>
          <w:sz w:val="22"/>
        </w:rPr>
        <w:t xml:space="preserve">1)  </w:t>
      </w:r>
      <w:r w:rsidR="004E6A20" w:rsidRPr="004E6A20">
        <w:rPr>
          <w:sz w:val="22"/>
        </w:rPr>
        <w:t>As one of the course</w:t>
      </w:r>
      <w:r w:rsidR="00306F1A">
        <w:rPr>
          <w:sz w:val="22"/>
        </w:rPr>
        <w:t>s</w:t>
      </w:r>
      <w:r w:rsidR="004E6A20" w:rsidRPr="004E6A20">
        <w:rPr>
          <w:sz w:val="22"/>
        </w:rPr>
        <w:t xml:space="preserve"> that meet the Literary History requirements in the TCNJ English major, LIT 376/  </w:t>
      </w:r>
      <w:r w:rsidR="004E6A20" w:rsidRPr="004E6A20">
        <w:rPr>
          <w:sz w:val="22"/>
          <w:lang w:val="en-CA"/>
        </w:rPr>
        <w:t>U.S. Literature since 1900</w:t>
      </w:r>
      <w:r w:rsidR="004E6A20" w:rsidRPr="004E6A20">
        <w:rPr>
          <w:b/>
          <w:sz w:val="22"/>
          <w:lang w:val="en-CA"/>
        </w:rPr>
        <w:t xml:space="preserve"> </w:t>
      </w:r>
      <w:r w:rsidR="004E6A20" w:rsidRPr="004E6A20">
        <w:rPr>
          <w:sz w:val="22"/>
        </w:rPr>
        <w:t>provides a rigorous survey of a historical time period. The course will meet the following English Department Learning Outcomes:</w:t>
      </w:r>
    </w:p>
    <w:p w14:paraId="1676A161" w14:textId="77777777" w:rsidR="004E6A20" w:rsidRPr="004E6A20" w:rsidRDefault="004E6A20" w:rsidP="004E6A20">
      <w:pPr>
        <w:jc w:val="both"/>
        <w:rPr>
          <w:sz w:val="22"/>
        </w:rPr>
      </w:pPr>
    </w:p>
    <w:p w14:paraId="6019D117" w14:textId="77777777" w:rsidR="004E6A20" w:rsidRDefault="004E6A20" w:rsidP="004E6A20">
      <w:pPr>
        <w:numPr>
          <w:ilvl w:val="0"/>
          <w:numId w:val="7"/>
        </w:numPr>
        <w:jc w:val="both"/>
        <w:rPr>
          <w:sz w:val="22"/>
        </w:rPr>
      </w:pPr>
      <w:r w:rsidRPr="004E6A20">
        <w:rPr>
          <w:sz w:val="22"/>
        </w:rPr>
        <w:t>(1) Students will be able to demonstrate familiarity with a range of critical, generic, and literary traditions (including recent theoretical approaches) that shape – and are shaped by – literary discourses and texts of particular periods or movements.</w:t>
      </w:r>
    </w:p>
    <w:p w14:paraId="59774ACD" w14:textId="77777777" w:rsidR="004E6A20" w:rsidRDefault="004E6A20" w:rsidP="004E6A20">
      <w:pPr>
        <w:numPr>
          <w:ilvl w:val="0"/>
          <w:numId w:val="7"/>
        </w:numPr>
        <w:jc w:val="both"/>
        <w:rPr>
          <w:sz w:val="22"/>
        </w:rPr>
      </w:pPr>
      <w:r w:rsidRPr="004E6A20">
        <w:rPr>
          <w:sz w:val="22"/>
        </w:rPr>
        <w:t>(3) Students will be able to identify historically specific elements relevant to a particular text.</w:t>
      </w:r>
    </w:p>
    <w:p w14:paraId="507D8672" w14:textId="77777777" w:rsidR="004E6A20" w:rsidRPr="004E6A20" w:rsidRDefault="004E6A20" w:rsidP="004E6A20">
      <w:pPr>
        <w:numPr>
          <w:ilvl w:val="0"/>
          <w:numId w:val="7"/>
        </w:numPr>
        <w:jc w:val="both"/>
        <w:rPr>
          <w:sz w:val="22"/>
        </w:rPr>
      </w:pPr>
      <w:r w:rsidRPr="004E6A20">
        <w:rPr>
          <w:sz w:val="22"/>
        </w:rPr>
        <w:t>(4) Students will be able to read a literary work and characterize its main aesthetic, structural, and rhetorical strategies in an argumentative, thesis-driven essay.</w:t>
      </w:r>
    </w:p>
    <w:p w14:paraId="7A9B936F" w14:textId="77777777" w:rsidR="007942F5" w:rsidRPr="007942F5" w:rsidRDefault="007942F5" w:rsidP="004E6A20">
      <w:pPr>
        <w:jc w:val="both"/>
        <w:rPr>
          <w:sz w:val="22"/>
        </w:rPr>
      </w:pPr>
    </w:p>
    <w:p w14:paraId="3D74093A" w14:textId="77777777" w:rsidR="007942F5" w:rsidRPr="007942F5" w:rsidRDefault="007942F5" w:rsidP="007942F5">
      <w:pPr>
        <w:jc w:val="both"/>
        <w:rPr>
          <w:sz w:val="22"/>
        </w:rPr>
      </w:pPr>
      <w:r w:rsidRPr="007942F5">
        <w:rPr>
          <w:sz w:val="22"/>
        </w:rPr>
        <w:t xml:space="preserve">2) As part of the curriculum of the School of Humanities and Social Sciences, LIT </w:t>
      </w:r>
      <w:r w:rsidR="002C259C">
        <w:rPr>
          <w:sz w:val="22"/>
        </w:rPr>
        <w:t>376</w:t>
      </w:r>
      <w:r w:rsidRPr="007942F5">
        <w:rPr>
          <w:sz w:val="22"/>
        </w:rPr>
        <w:t xml:space="preserve"> meets the following Learning Goals devised by Dean Benjamin Rifkin and presented to the Middle States Commission on Higher Education:</w:t>
      </w:r>
    </w:p>
    <w:p w14:paraId="2792D24F" w14:textId="77777777" w:rsidR="007942F5" w:rsidRPr="007942F5" w:rsidRDefault="007942F5" w:rsidP="007942F5">
      <w:pPr>
        <w:jc w:val="both"/>
        <w:rPr>
          <w:sz w:val="22"/>
        </w:rPr>
      </w:pPr>
    </w:p>
    <w:p w14:paraId="469AEB2E" w14:textId="77777777" w:rsidR="007942F5" w:rsidRPr="007942F5" w:rsidRDefault="007942F5" w:rsidP="007942F5">
      <w:pPr>
        <w:numPr>
          <w:ilvl w:val="0"/>
          <w:numId w:val="3"/>
        </w:numPr>
        <w:jc w:val="both"/>
        <w:rPr>
          <w:sz w:val="22"/>
        </w:rPr>
      </w:pPr>
      <w:r w:rsidRPr="007942F5">
        <w:rPr>
          <w:sz w:val="22"/>
        </w:rPr>
        <w:t>(1) Written Communication</w:t>
      </w:r>
    </w:p>
    <w:p w14:paraId="403D0C51" w14:textId="77777777" w:rsidR="007942F5" w:rsidRPr="007942F5" w:rsidRDefault="007942F5" w:rsidP="007942F5">
      <w:pPr>
        <w:numPr>
          <w:ilvl w:val="0"/>
          <w:numId w:val="3"/>
        </w:numPr>
        <w:jc w:val="both"/>
        <w:rPr>
          <w:sz w:val="22"/>
        </w:rPr>
      </w:pPr>
      <w:r w:rsidRPr="007942F5">
        <w:rPr>
          <w:sz w:val="22"/>
        </w:rPr>
        <w:t>(5) Critical Analysis and Reasoning:  Ability to critique the arguments of others in the discipline and the construction of one’s own arguments in the discipline, using data/evidence as a focus of instruction and/or the ability to analyze linguistic and cultural patterns</w:t>
      </w:r>
    </w:p>
    <w:p w14:paraId="010E59A5" w14:textId="77777777" w:rsidR="007942F5" w:rsidRPr="007942F5" w:rsidRDefault="007942F5" w:rsidP="007942F5">
      <w:pPr>
        <w:numPr>
          <w:ilvl w:val="0"/>
          <w:numId w:val="3"/>
        </w:numPr>
        <w:jc w:val="both"/>
        <w:rPr>
          <w:sz w:val="22"/>
        </w:rPr>
      </w:pPr>
      <w:r w:rsidRPr="007942F5">
        <w:rPr>
          <w:sz w:val="22"/>
        </w:rPr>
        <w:t>(7) Interpretation of Language and Symbol</w:t>
      </w:r>
    </w:p>
    <w:p w14:paraId="1E91B6BB" w14:textId="77777777" w:rsidR="007942F5" w:rsidRPr="007942F5" w:rsidRDefault="007942F5" w:rsidP="007942F5">
      <w:pPr>
        <w:numPr>
          <w:ilvl w:val="0"/>
          <w:numId w:val="3"/>
        </w:numPr>
        <w:jc w:val="both"/>
        <w:rPr>
          <w:sz w:val="22"/>
        </w:rPr>
      </w:pPr>
      <w:r w:rsidRPr="007942F5">
        <w:rPr>
          <w:sz w:val="22"/>
        </w:rPr>
        <w:t>(12) Understanding the power of words</w:t>
      </w:r>
    </w:p>
    <w:p w14:paraId="571BE8B8" w14:textId="77777777" w:rsidR="007942F5" w:rsidRDefault="007942F5" w:rsidP="007942F5">
      <w:pPr>
        <w:numPr>
          <w:ilvl w:val="0"/>
          <w:numId w:val="3"/>
        </w:numPr>
        <w:jc w:val="both"/>
        <w:rPr>
          <w:sz w:val="22"/>
        </w:rPr>
      </w:pPr>
      <w:r w:rsidRPr="007942F5">
        <w:rPr>
          <w:sz w:val="22"/>
        </w:rPr>
        <w:t>(1</w:t>
      </w:r>
      <w:r w:rsidR="002C259C">
        <w:rPr>
          <w:sz w:val="22"/>
        </w:rPr>
        <w:t>4</w:t>
      </w:r>
      <w:r w:rsidRPr="007942F5">
        <w:rPr>
          <w:sz w:val="22"/>
        </w:rPr>
        <w:t>) </w:t>
      </w:r>
      <w:r w:rsidR="002C259C">
        <w:rPr>
          <w:sz w:val="22"/>
        </w:rPr>
        <w:t>Sensitivity to historicity of texts</w:t>
      </w:r>
    </w:p>
    <w:p w14:paraId="64BBB671" w14:textId="77777777" w:rsidR="007942F5" w:rsidRPr="007942F5" w:rsidRDefault="007942F5" w:rsidP="007942F5">
      <w:pPr>
        <w:ind w:left="720"/>
        <w:jc w:val="both"/>
        <w:rPr>
          <w:sz w:val="22"/>
        </w:rPr>
      </w:pPr>
    </w:p>
    <w:p w14:paraId="1052FC3F" w14:textId="77777777" w:rsidR="007942F5" w:rsidRPr="007942F5" w:rsidRDefault="007942F5" w:rsidP="007942F5">
      <w:pPr>
        <w:jc w:val="both"/>
        <w:rPr>
          <w:sz w:val="22"/>
        </w:rPr>
      </w:pPr>
      <w:r w:rsidRPr="007942F5">
        <w:rPr>
          <w:sz w:val="22"/>
        </w:rPr>
        <w:t xml:space="preserve">3) This course meets 160 minutes a week but carries 1 full unit of credit toward the completion of an undergraduate degree.  Students enrolled in this course are expected to take substantial responsibility outside the classroom for their own learning experience and to complete assignments at a level of excellence that significantly exceeds what is required at many other colleges and universities, including at the College itself prior to 2006.   </w:t>
      </w:r>
    </w:p>
    <w:p w14:paraId="5AA3C5A4" w14:textId="77777777" w:rsidR="007942F5" w:rsidRPr="007942F5" w:rsidRDefault="007942F5" w:rsidP="007942F5">
      <w:pPr>
        <w:jc w:val="both"/>
        <w:rPr>
          <w:sz w:val="22"/>
        </w:rPr>
      </w:pPr>
    </w:p>
    <w:p w14:paraId="57E20CBA" w14:textId="77777777" w:rsidR="002C259C" w:rsidRPr="002C259C" w:rsidRDefault="007942F5" w:rsidP="002C259C">
      <w:pPr>
        <w:jc w:val="both"/>
        <w:rPr>
          <w:sz w:val="22"/>
        </w:rPr>
      </w:pPr>
      <w:r w:rsidRPr="007942F5">
        <w:rPr>
          <w:sz w:val="22"/>
        </w:rPr>
        <w:t>4) Because the</w:t>
      </w:r>
      <w:r w:rsidRPr="007942F5">
        <w:rPr>
          <w:b/>
          <w:sz w:val="22"/>
        </w:rPr>
        <w:t xml:space="preserve"> </w:t>
      </w:r>
      <w:r w:rsidRPr="007942F5">
        <w:rPr>
          <w:sz w:val="22"/>
        </w:rPr>
        <w:t>students in this course are assigned additional learning tasks that make the semester's learning experience more deeply engaged and rigorous, no additional classroom time or space is needed.</w:t>
      </w:r>
      <w:r w:rsidR="002C259C">
        <w:rPr>
          <w:sz w:val="22"/>
        </w:rPr>
        <w:t xml:space="preserve">  </w:t>
      </w:r>
    </w:p>
    <w:p w14:paraId="160F27D8" w14:textId="77777777" w:rsidR="007942F5" w:rsidRPr="007942F5" w:rsidRDefault="007942F5" w:rsidP="007942F5">
      <w:pPr>
        <w:jc w:val="both"/>
        <w:rPr>
          <w:sz w:val="22"/>
          <w:lang w:val="en-CA"/>
        </w:rPr>
      </w:pPr>
    </w:p>
    <w:p w14:paraId="5E784F00" w14:textId="77777777" w:rsidR="007942F5" w:rsidRPr="007942F5" w:rsidRDefault="007942F5" w:rsidP="007942F5">
      <w:pPr>
        <w:jc w:val="both"/>
        <w:rPr>
          <w:sz w:val="22"/>
        </w:rPr>
      </w:pPr>
    </w:p>
    <w:p w14:paraId="487BA26B" w14:textId="77777777" w:rsidR="007942F5" w:rsidRPr="007942F5" w:rsidRDefault="007942F5" w:rsidP="007942F5">
      <w:pPr>
        <w:jc w:val="both"/>
        <w:rPr>
          <w:b/>
          <w:sz w:val="22"/>
          <w:lang w:val="en-CA"/>
        </w:rPr>
      </w:pPr>
    </w:p>
    <w:p w14:paraId="4A12C088" w14:textId="77777777" w:rsidR="007942F5" w:rsidRPr="007942F5" w:rsidRDefault="007942F5" w:rsidP="007942F5">
      <w:pPr>
        <w:rPr>
          <w:rFonts w:ascii="Calibri" w:eastAsia="Calibri" w:hAnsi="Calibri"/>
          <w:sz w:val="22"/>
          <w:szCs w:val="22"/>
        </w:rPr>
      </w:pPr>
    </w:p>
    <w:p w14:paraId="4C70FD31" w14:textId="77777777" w:rsidR="007942F5" w:rsidRPr="007942F5" w:rsidRDefault="007942F5" w:rsidP="007942F5">
      <w:pPr>
        <w:jc w:val="both"/>
        <w:rPr>
          <w:b/>
          <w:sz w:val="22"/>
          <w:lang w:val="en-CA"/>
        </w:rPr>
      </w:pPr>
    </w:p>
    <w:p w14:paraId="25AE2E33" w14:textId="77777777" w:rsidR="007942F5" w:rsidRPr="007942F5" w:rsidRDefault="007942F5" w:rsidP="007942F5">
      <w:pPr>
        <w:jc w:val="both"/>
        <w:rPr>
          <w:b/>
          <w:sz w:val="22"/>
          <w:lang w:val="en-CA"/>
        </w:rPr>
      </w:pPr>
    </w:p>
    <w:p w14:paraId="262F157F" w14:textId="77777777" w:rsidR="007942F5" w:rsidRPr="007942F5" w:rsidRDefault="007942F5" w:rsidP="007942F5">
      <w:pPr>
        <w:jc w:val="center"/>
        <w:rPr>
          <w:b/>
          <w:sz w:val="22"/>
        </w:rPr>
      </w:pPr>
    </w:p>
    <w:p w14:paraId="77588119" w14:textId="77777777" w:rsidR="007942F5" w:rsidRPr="007942F5" w:rsidRDefault="007942F5" w:rsidP="007942F5">
      <w:pPr>
        <w:jc w:val="center"/>
        <w:rPr>
          <w:b/>
          <w:sz w:val="22"/>
        </w:rPr>
      </w:pPr>
    </w:p>
    <w:p w14:paraId="195DA5BA" w14:textId="77777777" w:rsidR="007942F5" w:rsidRPr="007942F5" w:rsidRDefault="007942F5" w:rsidP="007942F5">
      <w:pPr>
        <w:jc w:val="center"/>
        <w:rPr>
          <w:b/>
          <w:sz w:val="22"/>
        </w:rPr>
      </w:pPr>
    </w:p>
    <w:p w14:paraId="38AB9DF9" w14:textId="77777777" w:rsidR="007942F5" w:rsidRPr="007942F5" w:rsidRDefault="007942F5" w:rsidP="007942F5">
      <w:pPr>
        <w:jc w:val="center"/>
        <w:rPr>
          <w:b/>
          <w:sz w:val="22"/>
        </w:rPr>
      </w:pPr>
    </w:p>
    <w:p w14:paraId="2AD82549" w14:textId="77777777" w:rsidR="007942F5" w:rsidRDefault="007942F5" w:rsidP="007942F5">
      <w:pPr>
        <w:jc w:val="center"/>
        <w:rPr>
          <w:b/>
          <w:sz w:val="22"/>
        </w:rPr>
      </w:pPr>
    </w:p>
    <w:p w14:paraId="411B3477" w14:textId="77777777" w:rsidR="00EB0BF7" w:rsidRPr="007942F5" w:rsidRDefault="00EB0BF7" w:rsidP="007942F5">
      <w:pPr>
        <w:jc w:val="center"/>
        <w:rPr>
          <w:b/>
          <w:sz w:val="22"/>
        </w:rPr>
      </w:pPr>
    </w:p>
    <w:p w14:paraId="4BB895FE" w14:textId="77777777" w:rsidR="007942F5" w:rsidRPr="007942F5" w:rsidRDefault="007942F5" w:rsidP="007942F5">
      <w:pPr>
        <w:jc w:val="center"/>
        <w:rPr>
          <w:b/>
          <w:sz w:val="22"/>
          <w:lang w:val="en-CA"/>
        </w:rPr>
      </w:pPr>
    </w:p>
    <w:p w14:paraId="035F062C" w14:textId="77777777" w:rsidR="007942F5" w:rsidRPr="007942F5" w:rsidRDefault="00530A6A" w:rsidP="007942F5">
      <w:pPr>
        <w:jc w:val="center"/>
        <w:rPr>
          <w:b/>
          <w:sz w:val="22"/>
        </w:rPr>
      </w:pPr>
      <w:r w:rsidRPr="007942F5">
        <w:rPr>
          <w:b/>
          <w:sz w:val="22"/>
          <w:lang w:val="en-CA"/>
        </w:rPr>
        <w:lastRenderedPageBreak/>
        <w:fldChar w:fldCharType="begin"/>
      </w:r>
      <w:r w:rsidR="007942F5" w:rsidRPr="007942F5">
        <w:rPr>
          <w:b/>
          <w:sz w:val="22"/>
          <w:lang w:val="en-CA"/>
        </w:rPr>
        <w:instrText xml:space="preserve"> SEQ CHAPTER \h \r 1</w:instrText>
      </w:r>
      <w:r w:rsidRPr="007942F5">
        <w:rPr>
          <w:b/>
          <w:sz w:val="22"/>
          <w:lang w:val="en-CA"/>
        </w:rPr>
        <w:fldChar w:fldCharType="end"/>
      </w:r>
      <w:r w:rsidR="007942F5" w:rsidRPr="007942F5">
        <w:rPr>
          <w:b/>
          <w:sz w:val="22"/>
          <w:lang w:val="en-CA"/>
        </w:rPr>
        <w:t>Grading Rubric</w:t>
      </w:r>
    </w:p>
    <w:p w14:paraId="6F7C71BD" w14:textId="77777777" w:rsidR="007942F5" w:rsidRPr="007942F5" w:rsidRDefault="007942F5" w:rsidP="007942F5">
      <w:pPr>
        <w:jc w:val="center"/>
        <w:rPr>
          <w:sz w:val="24"/>
        </w:rPr>
      </w:pPr>
    </w:p>
    <w:p w14:paraId="142462DD" w14:textId="77777777" w:rsidR="007942F5" w:rsidRPr="007942F5" w:rsidRDefault="007942F5" w:rsidP="00B1048D">
      <w:pPr>
        <w:ind w:right="-180"/>
      </w:pPr>
      <w:r w:rsidRPr="007942F5">
        <w:t>Grading papers is not a precise business</w:t>
      </w:r>
      <w:r w:rsidR="00545859">
        <w:t>, and my comments will be holistic.</w:t>
      </w:r>
      <w:r w:rsidRPr="007942F5">
        <w:t xml:space="preserve"> I do not give or take off a fixed number of points for particular strengths or weaknesses. Sometimes an overwhelmingly good or bad performance in one area outweighs other factors. The following table, therefore, should be read as a guideline only.  It breaks down the course’s grading criteria into four categories: argument, evidence, style, and mechanics. These are not, however, entirely discrete categories, and in fact, your performance in one area will often shape your performance in another.  For example, readers will not be able to appreciate your argument if they have to struggle to understan</w:t>
      </w:r>
      <w:r w:rsidR="00545859">
        <w:t>d the sentences that convey it.  I</w:t>
      </w:r>
      <w:r w:rsidR="00B1048D">
        <w:t xml:space="preserve">f you think it would be helpful, </w:t>
      </w:r>
      <w:r w:rsidR="00545859">
        <w:t xml:space="preserve">though, </w:t>
      </w:r>
      <w:r w:rsidR="00B1048D">
        <w:t>you are welcome to bring a copy of this rubric to office hours and ask me to show how your graded paper fits into these categories.</w:t>
      </w:r>
    </w:p>
    <w:p w14:paraId="52F16DDC" w14:textId="77777777" w:rsidR="007942F5" w:rsidRPr="007942F5" w:rsidRDefault="007942F5" w:rsidP="007942F5">
      <w:pPr>
        <w:rPr>
          <w:sz w:val="24"/>
        </w:rPr>
      </w:pPr>
    </w:p>
    <w:tbl>
      <w:tblPr>
        <w:tblW w:w="0" w:type="auto"/>
        <w:tblInd w:w="100"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260"/>
        <w:gridCol w:w="2070"/>
        <w:gridCol w:w="2520"/>
        <w:gridCol w:w="2070"/>
        <w:gridCol w:w="1620"/>
      </w:tblGrid>
      <w:tr w:rsidR="007942F5" w:rsidRPr="007942F5" w14:paraId="7A361B3F" w14:textId="77777777" w:rsidTr="00D272E6">
        <w:trPr>
          <w:cantSplit/>
        </w:trPr>
        <w:tc>
          <w:tcPr>
            <w:tcW w:w="1260" w:type="dxa"/>
          </w:tcPr>
          <w:p w14:paraId="131065E5" w14:textId="77777777" w:rsidR="007942F5" w:rsidRPr="007942F5" w:rsidRDefault="007942F5" w:rsidP="007942F5">
            <w:pPr>
              <w:spacing w:before="100" w:after="54"/>
            </w:pPr>
            <w:r w:rsidRPr="007942F5">
              <w:t>CRITERIA</w:t>
            </w:r>
          </w:p>
          <w:p w14:paraId="7721B4EA" w14:textId="77777777" w:rsidR="007942F5" w:rsidRPr="007942F5" w:rsidRDefault="007942F5" w:rsidP="007942F5">
            <w:pPr>
              <w:spacing w:before="100" w:after="54"/>
            </w:pPr>
            <w:r w:rsidRPr="007942F5">
              <w:t>GRADE</w:t>
            </w:r>
          </w:p>
        </w:tc>
        <w:tc>
          <w:tcPr>
            <w:tcW w:w="2070" w:type="dxa"/>
          </w:tcPr>
          <w:p w14:paraId="63267416" w14:textId="77777777" w:rsidR="007942F5" w:rsidRPr="007942F5" w:rsidRDefault="007942F5" w:rsidP="007942F5">
            <w:pPr>
              <w:spacing w:before="100" w:after="54"/>
            </w:pPr>
            <w:r w:rsidRPr="007942F5">
              <w:t>ARGUMENT</w:t>
            </w:r>
          </w:p>
        </w:tc>
        <w:tc>
          <w:tcPr>
            <w:tcW w:w="2520" w:type="dxa"/>
          </w:tcPr>
          <w:p w14:paraId="55404C3A" w14:textId="77777777" w:rsidR="007942F5" w:rsidRPr="007942F5" w:rsidRDefault="007942F5" w:rsidP="007942F5">
            <w:pPr>
              <w:spacing w:before="100" w:after="54"/>
            </w:pPr>
            <w:r w:rsidRPr="007942F5">
              <w:t>EVIDENCE</w:t>
            </w:r>
          </w:p>
        </w:tc>
        <w:tc>
          <w:tcPr>
            <w:tcW w:w="2070" w:type="dxa"/>
          </w:tcPr>
          <w:p w14:paraId="1EB93DEA" w14:textId="77777777" w:rsidR="007942F5" w:rsidRPr="007942F5" w:rsidRDefault="007942F5" w:rsidP="007942F5">
            <w:pPr>
              <w:spacing w:before="100" w:after="54"/>
            </w:pPr>
            <w:r w:rsidRPr="007942F5">
              <w:t>STYLE</w:t>
            </w:r>
          </w:p>
        </w:tc>
        <w:tc>
          <w:tcPr>
            <w:tcW w:w="1620" w:type="dxa"/>
          </w:tcPr>
          <w:p w14:paraId="4389029D" w14:textId="77777777" w:rsidR="007942F5" w:rsidRPr="007942F5" w:rsidRDefault="007942F5" w:rsidP="007942F5">
            <w:pPr>
              <w:spacing w:before="100" w:after="54"/>
            </w:pPr>
            <w:r w:rsidRPr="007942F5">
              <w:t>MECHANICS/ GRAMMAR</w:t>
            </w:r>
          </w:p>
        </w:tc>
      </w:tr>
      <w:tr w:rsidR="007942F5" w:rsidRPr="007942F5" w14:paraId="5D83E897" w14:textId="77777777" w:rsidTr="00D272E6">
        <w:trPr>
          <w:cantSplit/>
        </w:trPr>
        <w:tc>
          <w:tcPr>
            <w:tcW w:w="1260" w:type="dxa"/>
          </w:tcPr>
          <w:p w14:paraId="08C03467" w14:textId="77777777" w:rsidR="007942F5" w:rsidRPr="007942F5" w:rsidRDefault="007942F5" w:rsidP="007942F5">
            <w:pPr>
              <w:spacing w:before="100" w:after="54"/>
              <w:rPr>
                <w:sz w:val="18"/>
              </w:rPr>
            </w:pPr>
          </w:p>
          <w:p w14:paraId="50A71847" w14:textId="77777777" w:rsidR="007942F5" w:rsidRPr="007942F5" w:rsidRDefault="007942F5" w:rsidP="007942F5">
            <w:pPr>
              <w:spacing w:before="100" w:after="54"/>
              <w:rPr>
                <w:sz w:val="18"/>
              </w:rPr>
            </w:pPr>
          </w:p>
          <w:p w14:paraId="355B32DC" w14:textId="77777777" w:rsidR="007942F5" w:rsidRPr="007942F5" w:rsidRDefault="007942F5" w:rsidP="007942F5">
            <w:pPr>
              <w:spacing w:before="100" w:after="54"/>
              <w:rPr>
                <w:sz w:val="18"/>
              </w:rPr>
            </w:pPr>
            <w:r w:rsidRPr="007942F5">
              <w:rPr>
                <w:sz w:val="18"/>
              </w:rPr>
              <w:t xml:space="preserve">   A</w:t>
            </w:r>
          </w:p>
        </w:tc>
        <w:tc>
          <w:tcPr>
            <w:tcW w:w="2070" w:type="dxa"/>
          </w:tcPr>
          <w:p w14:paraId="06BAFE50" w14:textId="77777777" w:rsidR="007942F5" w:rsidRPr="007942F5" w:rsidRDefault="007942F5" w:rsidP="007942F5">
            <w:pPr>
              <w:spacing w:before="100" w:after="54"/>
              <w:rPr>
                <w:sz w:val="18"/>
              </w:rPr>
            </w:pPr>
            <w:r w:rsidRPr="007942F5">
              <w:rPr>
                <w:sz w:val="18"/>
              </w:rPr>
              <w:t>Argument is focused, clearly stated at the beginning, and developed logically throughout the paper to a conclusion. Paragraphs organized around concepts with strong topic sentences.  Argument is bold, fresh, and compelling</w:t>
            </w:r>
          </w:p>
        </w:tc>
        <w:tc>
          <w:tcPr>
            <w:tcW w:w="2520" w:type="dxa"/>
          </w:tcPr>
          <w:p w14:paraId="4EBAF51D" w14:textId="77777777" w:rsidR="007942F5" w:rsidRPr="007942F5" w:rsidRDefault="007942F5" w:rsidP="007942F5">
            <w:pPr>
              <w:spacing w:before="100" w:after="54"/>
              <w:rPr>
                <w:sz w:val="18"/>
              </w:rPr>
            </w:pPr>
            <w:r w:rsidRPr="007942F5">
              <w:rPr>
                <w:sz w:val="18"/>
              </w:rPr>
              <w:t>Extensive and varied factual evidence supports argument. No significant omissions, irrelevancies, or errors of fact.  Quoted and paraphrased material is introduced fluidly, with varying and helpful framing.</w:t>
            </w:r>
          </w:p>
        </w:tc>
        <w:tc>
          <w:tcPr>
            <w:tcW w:w="2070" w:type="dxa"/>
          </w:tcPr>
          <w:p w14:paraId="755A4042" w14:textId="77777777" w:rsidR="007942F5" w:rsidRPr="007942F5" w:rsidRDefault="007942F5" w:rsidP="007942F5">
            <w:pPr>
              <w:spacing w:before="100" w:after="54"/>
              <w:rPr>
                <w:sz w:val="18"/>
              </w:rPr>
            </w:pPr>
            <w:r w:rsidRPr="007942F5">
              <w:rPr>
                <w:sz w:val="18"/>
              </w:rPr>
              <w:t>Excellent prose style: clear, elegant, persuasive.  Language and phrasing are precise and, in some cases, memorable.  Writer has an identifiable and coherent voice.</w:t>
            </w:r>
          </w:p>
        </w:tc>
        <w:tc>
          <w:tcPr>
            <w:tcW w:w="1620" w:type="dxa"/>
          </w:tcPr>
          <w:p w14:paraId="2260254E" w14:textId="77777777" w:rsidR="007942F5" w:rsidRPr="007942F5" w:rsidRDefault="007942F5" w:rsidP="007942F5">
            <w:pPr>
              <w:spacing w:before="100" w:after="54"/>
              <w:rPr>
                <w:sz w:val="18"/>
              </w:rPr>
            </w:pPr>
            <w:r w:rsidRPr="007942F5">
              <w:rPr>
                <w:sz w:val="18"/>
              </w:rPr>
              <w:t xml:space="preserve">Minimal errors in grammar, spelling, etc.  </w:t>
            </w:r>
          </w:p>
        </w:tc>
      </w:tr>
      <w:tr w:rsidR="007942F5" w:rsidRPr="007942F5" w14:paraId="45A015DD" w14:textId="77777777" w:rsidTr="00D272E6">
        <w:trPr>
          <w:cantSplit/>
        </w:trPr>
        <w:tc>
          <w:tcPr>
            <w:tcW w:w="1260" w:type="dxa"/>
            <w:tcBorders>
              <w:bottom w:val="single" w:sz="6" w:space="0" w:color="000000"/>
            </w:tcBorders>
          </w:tcPr>
          <w:p w14:paraId="287EDF18" w14:textId="77777777" w:rsidR="007942F5" w:rsidRPr="007942F5" w:rsidRDefault="007942F5" w:rsidP="007942F5">
            <w:pPr>
              <w:spacing w:before="100" w:after="54"/>
              <w:rPr>
                <w:sz w:val="18"/>
              </w:rPr>
            </w:pPr>
          </w:p>
          <w:p w14:paraId="26416753" w14:textId="77777777" w:rsidR="007942F5" w:rsidRPr="007942F5" w:rsidRDefault="007942F5" w:rsidP="007942F5">
            <w:pPr>
              <w:spacing w:before="100" w:after="54"/>
              <w:rPr>
                <w:sz w:val="18"/>
              </w:rPr>
            </w:pPr>
          </w:p>
          <w:p w14:paraId="36259932" w14:textId="77777777" w:rsidR="007942F5" w:rsidRPr="007942F5" w:rsidRDefault="007942F5" w:rsidP="007942F5">
            <w:pPr>
              <w:spacing w:before="100" w:after="54"/>
              <w:rPr>
                <w:sz w:val="18"/>
              </w:rPr>
            </w:pPr>
            <w:r w:rsidRPr="007942F5">
              <w:rPr>
                <w:sz w:val="18"/>
              </w:rPr>
              <w:t xml:space="preserve">   B</w:t>
            </w:r>
          </w:p>
        </w:tc>
        <w:tc>
          <w:tcPr>
            <w:tcW w:w="2070" w:type="dxa"/>
            <w:tcBorders>
              <w:bottom w:val="single" w:sz="6" w:space="0" w:color="000000"/>
            </w:tcBorders>
          </w:tcPr>
          <w:p w14:paraId="5B72D5EC" w14:textId="77777777" w:rsidR="007942F5" w:rsidRPr="007942F5" w:rsidRDefault="007942F5" w:rsidP="007942F5">
            <w:pPr>
              <w:spacing w:before="100" w:after="54"/>
              <w:rPr>
                <w:sz w:val="18"/>
              </w:rPr>
            </w:pPr>
            <w:r w:rsidRPr="007942F5">
              <w:rPr>
                <w:sz w:val="18"/>
              </w:rPr>
              <w:t>Argument relatively clear and focused but may fail to develop to a precise, ambitious conclusion.                                Topic sentences advance different stages of the argument.  Papers in the B-/C+ range generally have a routine, pedestrian argument or one that re-hashes class discussion rather than breaking new ground.</w:t>
            </w:r>
          </w:p>
        </w:tc>
        <w:tc>
          <w:tcPr>
            <w:tcW w:w="2520" w:type="dxa"/>
            <w:tcBorders>
              <w:bottom w:val="single" w:sz="6" w:space="0" w:color="000000"/>
            </w:tcBorders>
          </w:tcPr>
          <w:p w14:paraId="5F85B8DE" w14:textId="77777777" w:rsidR="007942F5" w:rsidRPr="007942F5" w:rsidRDefault="007942F5" w:rsidP="007942F5">
            <w:pPr>
              <w:spacing w:before="100" w:after="54"/>
              <w:rPr>
                <w:sz w:val="18"/>
              </w:rPr>
            </w:pPr>
            <w:r w:rsidRPr="007942F5">
              <w:rPr>
                <w:sz w:val="18"/>
              </w:rPr>
              <w:t xml:space="preserve">Generally good evidence, but some lack of variety of sources, errors of omission, and/ or irrelevant data.  Quoted and paraphrased material is framed properly, though at times mechanically.  </w:t>
            </w:r>
          </w:p>
        </w:tc>
        <w:tc>
          <w:tcPr>
            <w:tcW w:w="2070" w:type="dxa"/>
            <w:tcBorders>
              <w:bottom w:val="single" w:sz="6" w:space="0" w:color="000000"/>
            </w:tcBorders>
          </w:tcPr>
          <w:p w14:paraId="2811F956" w14:textId="77777777" w:rsidR="007942F5" w:rsidRPr="007942F5" w:rsidRDefault="007942F5" w:rsidP="007942F5">
            <w:pPr>
              <w:spacing w:before="100" w:after="54"/>
              <w:rPr>
                <w:sz w:val="18"/>
              </w:rPr>
            </w:pPr>
            <w:r w:rsidRPr="007942F5">
              <w:rPr>
                <w:sz w:val="18"/>
              </w:rPr>
              <w:t>Clear, serviceable prose that does not obscure understanding.   Writer has used varying sentence patterns, although the sentences lack the rhythm and precision of an A paper.  Writer’s voice is emerging.</w:t>
            </w:r>
          </w:p>
        </w:tc>
        <w:tc>
          <w:tcPr>
            <w:tcW w:w="1620" w:type="dxa"/>
            <w:tcBorders>
              <w:bottom w:val="single" w:sz="6" w:space="0" w:color="000000"/>
            </w:tcBorders>
          </w:tcPr>
          <w:p w14:paraId="5497262B" w14:textId="77777777" w:rsidR="007942F5" w:rsidRPr="007942F5" w:rsidRDefault="007942F5" w:rsidP="007942F5">
            <w:pPr>
              <w:spacing w:before="100" w:after="54"/>
              <w:rPr>
                <w:sz w:val="18"/>
              </w:rPr>
            </w:pPr>
            <w:r w:rsidRPr="007942F5">
              <w:rPr>
                <w:sz w:val="18"/>
              </w:rPr>
              <w:t xml:space="preserve">A few errors ranging from typos and spelling mistakes to the inappropriate use of the passive voice.  </w:t>
            </w:r>
          </w:p>
        </w:tc>
      </w:tr>
      <w:tr w:rsidR="007942F5" w:rsidRPr="007942F5" w14:paraId="5FD14156" w14:textId="77777777" w:rsidTr="00D272E6">
        <w:trPr>
          <w:cantSplit/>
          <w:trHeight w:val="3657"/>
        </w:trPr>
        <w:tc>
          <w:tcPr>
            <w:tcW w:w="1260" w:type="dxa"/>
            <w:tcBorders>
              <w:top w:val="single" w:sz="6" w:space="0" w:color="000000"/>
              <w:left w:val="single" w:sz="6" w:space="0" w:color="000000"/>
              <w:bottom w:val="single" w:sz="6" w:space="0" w:color="000000"/>
              <w:right w:val="single" w:sz="6" w:space="0" w:color="000000"/>
            </w:tcBorders>
          </w:tcPr>
          <w:p w14:paraId="29739BC0" w14:textId="77777777" w:rsidR="007942F5" w:rsidRPr="007942F5" w:rsidRDefault="007942F5" w:rsidP="007942F5">
            <w:pPr>
              <w:spacing w:before="100" w:after="54"/>
              <w:rPr>
                <w:sz w:val="18"/>
              </w:rPr>
            </w:pPr>
          </w:p>
          <w:p w14:paraId="532ACDC5" w14:textId="77777777" w:rsidR="007942F5" w:rsidRPr="007942F5" w:rsidRDefault="007942F5" w:rsidP="007942F5">
            <w:pPr>
              <w:spacing w:before="100" w:after="54"/>
              <w:rPr>
                <w:sz w:val="18"/>
              </w:rPr>
            </w:pPr>
          </w:p>
          <w:p w14:paraId="2C24E12C" w14:textId="77777777" w:rsidR="007942F5" w:rsidRPr="007942F5" w:rsidRDefault="007942F5" w:rsidP="007942F5">
            <w:pPr>
              <w:spacing w:before="100" w:after="54"/>
              <w:rPr>
                <w:sz w:val="18"/>
              </w:rPr>
            </w:pPr>
            <w:r w:rsidRPr="007942F5">
              <w:rPr>
                <w:sz w:val="18"/>
              </w:rPr>
              <w:t xml:space="preserve">   C</w:t>
            </w:r>
          </w:p>
        </w:tc>
        <w:tc>
          <w:tcPr>
            <w:tcW w:w="2070" w:type="dxa"/>
            <w:tcBorders>
              <w:top w:val="single" w:sz="6" w:space="0" w:color="000000"/>
              <w:left w:val="single" w:sz="6" w:space="0" w:color="000000"/>
              <w:bottom w:val="single" w:sz="6" w:space="0" w:color="000000"/>
              <w:right w:val="single" w:sz="6" w:space="0" w:color="000000"/>
            </w:tcBorders>
          </w:tcPr>
          <w:p w14:paraId="1DDF3053" w14:textId="77777777" w:rsidR="007942F5" w:rsidRPr="007942F5" w:rsidRDefault="007942F5" w:rsidP="007942F5">
            <w:pPr>
              <w:spacing w:before="100" w:after="54"/>
              <w:rPr>
                <w:sz w:val="18"/>
              </w:rPr>
            </w:pPr>
            <w:r w:rsidRPr="007942F5">
              <w:rPr>
                <w:sz w:val="18"/>
              </w:rPr>
              <w:t>Argument is vague, general and implied rather than explicitly stated; it does not lead to a well-developed conclusion.  When organized, paragraphs and topic sentences emphasize sequence (time, scenes, etc) rather than concepts.  Frequent and unnecessary plot summary.  These papers often “recognize” an image or thematic pattern and “display” that pattern, but do not advance an argument.</w:t>
            </w:r>
          </w:p>
        </w:tc>
        <w:tc>
          <w:tcPr>
            <w:tcW w:w="2520" w:type="dxa"/>
            <w:tcBorders>
              <w:top w:val="single" w:sz="6" w:space="0" w:color="000000"/>
              <w:left w:val="single" w:sz="6" w:space="0" w:color="000000"/>
              <w:bottom w:val="single" w:sz="6" w:space="0" w:color="000000"/>
              <w:right w:val="single" w:sz="6" w:space="0" w:color="000000"/>
            </w:tcBorders>
          </w:tcPr>
          <w:p w14:paraId="164DA3BE" w14:textId="77777777" w:rsidR="007942F5" w:rsidRPr="007942F5" w:rsidRDefault="007942F5" w:rsidP="007942F5">
            <w:pPr>
              <w:spacing w:before="100" w:after="54"/>
              <w:rPr>
                <w:sz w:val="18"/>
              </w:rPr>
            </w:pPr>
            <w:r w:rsidRPr="007942F5">
              <w:rPr>
                <w:sz w:val="18"/>
              </w:rPr>
              <w:t>Some evidence, but excessive dependence on a single scene or source, substantial omissions or irrelevancies, and/or minor errors of fact.  Quoted and paraphrased materials are simply dropped into the text without attribution or framing.</w:t>
            </w:r>
          </w:p>
        </w:tc>
        <w:tc>
          <w:tcPr>
            <w:tcW w:w="2070" w:type="dxa"/>
            <w:tcBorders>
              <w:top w:val="single" w:sz="6" w:space="0" w:color="000000"/>
              <w:left w:val="single" w:sz="6" w:space="0" w:color="000000"/>
              <w:bottom w:val="single" w:sz="6" w:space="0" w:color="000000"/>
              <w:right w:val="single" w:sz="6" w:space="0" w:color="000000"/>
            </w:tcBorders>
          </w:tcPr>
          <w:p w14:paraId="3B8F5D5B" w14:textId="77777777" w:rsidR="007942F5" w:rsidRPr="007942F5" w:rsidRDefault="007942F5" w:rsidP="007942F5">
            <w:pPr>
              <w:spacing w:before="100" w:after="54"/>
              <w:rPr>
                <w:sz w:val="18"/>
              </w:rPr>
            </w:pPr>
            <w:r w:rsidRPr="007942F5">
              <w:rPr>
                <w:sz w:val="18"/>
              </w:rPr>
              <w:t xml:space="preserve">Understandable writing, but sometimes vague, wooden, or choppy.  Sentences are haphazardly constructed, giving the impression that the writer has little control.  </w:t>
            </w:r>
          </w:p>
        </w:tc>
        <w:tc>
          <w:tcPr>
            <w:tcW w:w="1620" w:type="dxa"/>
            <w:tcBorders>
              <w:top w:val="single" w:sz="6" w:space="0" w:color="000000"/>
              <w:left w:val="single" w:sz="6" w:space="0" w:color="000000"/>
              <w:bottom w:val="single" w:sz="6" w:space="0" w:color="000000"/>
              <w:right w:val="single" w:sz="6" w:space="0" w:color="000000"/>
            </w:tcBorders>
          </w:tcPr>
          <w:p w14:paraId="05FD41C8" w14:textId="77777777" w:rsidR="007942F5" w:rsidRPr="007942F5" w:rsidRDefault="007942F5" w:rsidP="007942F5">
            <w:pPr>
              <w:spacing w:before="100" w:after="54"/>
              <w:rPr>
                <w:sz w:val="18"/>
              </w:rPr>
            </w:pPr>
            <w:r w:rsidRPr="007942F5">
              <w:rPr>
                <w:sz w:val="18"/>
              </w:rPr>
              <w:t>Substantial errors which detract from overall effect of paper or suggest a wavering commitment to the assignment.*</w:t>
            </w:r>
          </w:p>
        </w:tc>
      </w:tr>
      <w:tr w:rsidR="007942F5" w:rsidRPr="007942F5" w14:paraId="15603EFF" w14:textId="77777777" w:rsidTr="00D272E6">
        <w:trPr>
          <w:cantSplit/>
        </w:trPr>
        <w:tc>
          <w:tcPr>
            <w:tcW w:w="1260" w:type="dxa"/>
            <w:tcBorders>
              <w:top w:val="single" w:sz="6" w:space="0" w:color="000000"/>
              <w:bottom w:val="single" w:sz="6" w:space="0" w:color="000000"/>
            </w:tcBorders>
          </w:tcPr>
          <w:p w14:paraId="79C47C78" w14:textId="77777777" w:rsidR="007942F5" w:rsidRPr="007942F5" w:rsidRDefault="007942F5" w:rsidP="007942F5">
            <w:pPr>
              <w:spacing w:before="100" w:after="54"/>
              <w:rPr>
                <w:sz w:val="18"/>
              </w:rPr>
            </w:pPr>
          </w:p>
          <w:p w14:paraId="01E80DF2" w14:textId="77777777" w:rsidR="007942F5" w:rsidRPr="007942F5" w:rsidRDefault="007942F5" w:rsidP="007942F5">
            <w:pPr>
              <w:spacing w:before="100" w:after="54"/>
              <w:rPr>
                <w:sz w:val="18"/>
              </w:rPr>
            </w:pPr>
            <w:r w:rsidRPr="007942F5">
              <w:rPr>
                <w:sz w:val="18"/>
              </w:rPr>
              <w:t xml:space="preserve">   D</w:t>
            </w:r>
          </w:p>
        </w:tc>
        <w:tc>
          <w:tcPr>
            <w:tcW w:w="2070" w:type="dxa"/>
            <w:tcBorders>
              <w:top w:val="single" w:sz="6" w:space="0" w:color="000000"/>
              <w:bottom w:val="single" w:sz="6" w:space="0" w:color="000000"/>
            </w:tcBorders>
          </w:tcPr>
          <w:p w14:paraId="3E6BA440" w14:textId="77777777" w:rsidR="007942F5" w:rsidRPr="007942F5" w:rsidRDefault="007942F5" w:rsidP="007942F5">
            <w:pPr>
              <w:spacing w:before="100" w:after="54"/>
              <w:rPr>
                <w:sz w:val="18"/>
              </w:rPr>
            </w:pPr>
            <w:r w:rsidRPr="007942F5">
              <w:rPr>
                <w:sz w:val="18"/>
              </w:rPr>
              <w:t xml:space="preserve">Argument is barely </w:t>
            </w:r>
            <w:r w:rsidR="00545859" w:rsidRPr="007942F5">
              <w:rPr>
                <w:sz w:val="18"/>
              </w:rPr>
              <w:t>discernible</w:t>
            </w:r>
            <w:r w:rsidRPr="007942F5">
              <w:rPr>
                <w:sz w:val="18"/>
              </w:rPr>
              <w:t xml:space="preserve"> and/or very poorly developed.</w:t>
            </w:r>
          </w:p>
        </w:tc>
        <w:tc>
          <w:tcPr>
            <w:tcW w:w="2520" w:type="dxa"/>
            <w:tcBorders>
              <w:top w:val="single" w:sz="6" w:space="0" w:color="000000"/>
              <w:bottom w:val="single" w:sz="6" w:space="0" w:color="000000"/>
            </w:tcBorders>
          </w:tcPr>
          <w:p w14:paraId="428912F4" w14:textId="77777777" w:rsidR="007942F5" w:rsidRPr="007942F5" w:rsidRDefault="007942F5" w:rsidP="007942F5">
            <w:pPr>
              <w:spacing w:before="100" w:after="54"/>
              <w:rPr>
                <w:sz w:val="18"/>
              </w:rPr>
            </w:pPr>
            <w:r w:rsidRPr="007942F5">
              <w:rPr>
                <w:sz w:val="18"/>
              </w:rPr>
              <w:t xml:space="preserve">Very little, or largely irrelevant evidence, and/or substantial errors of fact.  Problems in quoted and paraphrased material ranging from misquotations to passages that arouse suspicions of plagiarism. </w:t>
            </w:r>
          </w:p>
        </w:tc>
        <w:tc>
          <w:tcPr>
            <w:tcW w:w="2070" w:type="dxa"/>
            <w:tcBorders>
              <w:top w:val="single" w:sz="6" w:space="0" w:color="000000"/>
              <w:bottom w:val="single" w:sz="6" w:space="0" w:color="000000"/>
            </w:tcBorders>
          </w:tcPr>
          <w:p w14:paraId="1FA8F41B" w14:textId="77777777" w:rsidR="007942F5" w:rsidRPr="007942F5" w:rsidRDefault="007942F5" w:rsidP="007942F5">
            <w:pPr>
              <w:spacing w:before="100" w:after="54"/>
              <w:rPr>
                <w:sz w:val="18"/>
              </w:rPr>
            </w:pPr>
            <w:r w:rsidRPr="007942F5">
              <w:rPr>
                <w:sz w:val="18"/>
              </w:rPr>
              <w:t>Writing is confusing, vague, and/or hard to understand.</w:t>
            </w:r>
          </w:p>
        </w:tc>
        <w:tc>
          <w:tcPr>
            <w:tcW w:w="1620" w:type="dxa"/>
            <w:tcBorders>
              <w:top w:val="single" w:sz="6" w:space="0" w:color="000000"/>
              <w:bottom w:val="single" w:sz="6" w:space="0" w:color="000000"/>
            </w:tcBorders>
          </w:tcPr>
          <w:p w14:paraId="2FA98501" w14:textId="77777777" w:rsidR="007942F5" w:rsidRPr="007942F5" w:rsidRDefault="007942F5" w:rsidP="007942F5">
            <w:pPr>
              <w:spacing w:before="100" w:after="54"/>
              <w:rPr>
                <w:sz w:val="18"/>
              </w:rPr>
            </w:pPr>
            <w:r w:rsidRPr="007942F5">
              <w:rPr>
                <w:sz w:val="18"/>
              </w:rPr>
              <w:t>Frequent and serious errors which make paper hard to understand or suggest a profound lack of commitment to the assignment.*</w:t>
            </w:r>
          </w:p>
        </w:tc>
      </w:tr>
      <w:tr w:rsidR="007942F5" w:rsidRPr="007942F5" w14:paraId="0204BE5D" w14:textId="77777777" w:rsidTr="00D272E6">
        <w:trPr>
          <w:cantSplit/>
        </w:trPr>
        <w:tc>
          <w:tcPr>
            <w:tcW w:w="1260" w:type="dxa"/>
            <w:tcBorders>
              <w:bottom w:val="single" w:sz="6" w:space="0" w:color="000000"/>
            </w:tcBorders>
          </w:tcPr>
          <w:p w14:paraId="285D88FE" w14:textId="77777777" w:rsidR="007942F5" w:rsidRPr="007942F5" w:rsidRDefault="007942F5" w:rsidP="007942F5">
            <w:pPr>
              <w:spacing w:before="100" w:after="54"/>
              <w:rPr>
                <w:sz w:val="18"/>
              </w:rPr>
            </w:pPr>
          </w:p>
          <w:p w14:paraId="275D2F46" w14:textId="77777777" w:rsidR="007942F5" w:rsidRPr="007942F5" w:rsidRDefault="007942F5" w:rsidP="007942F5">
            <w:pPr>
              <w:spacing w:before="100" w:after="54"/>
              <w:rPr>
                <w:sz w:val="18"/>
              </w:rPr>
            </w:pPr>
            <w:r w:rsidRPr="007942F5">
              <w:rPr>
                <w:sz w:val="18"/>
              </w:rPr>
              <w:t xml:space="preserve">   F</w:t>
            </w:r>
          </w:p>
        </w:tc>
        <w:tc>
          <w:tcPr>
            <w:tcW w:w="2070" w:type="dxa"/>
            <w:tcBorders>
              <w:bottom w:val="single" w:sz="6" w:space="0" w:color="000000"/>
            </w:tcBorders>
          </w:tcPr>
          <w:p w14:paraId="3CEB5058" w14:textId="77777777" w:rsidR="007942F5" w:rsidRPr="007942F5" w:rsidRDefault="007942F5" w:rsidP="007942F5">
            <w:pPr>
              <w:spacing w:before="100" w:after="54"/>
              <w:rPr>
                <w:sz w:val="18"/>
              </w:rPr>
            </w:pPr>
            <w:r w:rsidRPr="007942F5">
              <w:rPr>
                <w:sz w:val="18"/>
              </w:rPr>
              <w:t xml:space="preserve">No </w:t>
            </w:r>
            <w:r w:rsidR="00545859" w:rsidRPr="007942F5">
              <w:rPr>
                <w:sz w:val="18"/>
              </w:rPr>
              <w:t>discernible</w:t>
            </w:r>
            <w:r w:rsidRPr="007942F5">
              <w:rPr>
                <w:sz w:val="18"/>
              </w:rPr>
              <w:t xml:space="preserve"> argument or paper totally digresses from argument. </w:t>
            </w:r>
          </w:p>
        </w:tc>
        <w:tc>
          <w:tcPr>
            <w:tcW w:w="2520" w:type="dxa"/>
            <w:tcBorders>
              <w:bottom w:val="single" w:sz="6" w:space="0" w:color="000000"/>
            </w:tcBorders>
          </w:tcPr>
          <w:p w14:paraId="2A76177D" w14:textId="77777777" w:rsidR="007942F5" w:rsidRPr="007942F5" w:rsidRDefault="007942F5" w:rsidP="007942F5">
            <w:pPr>
              <w:spacing w:before="100" w:after="54"/>
              <w:rPr>
                <w:sz w:val="18"/>
              </w:rPr>
            </w:pPr>
            <w:r w:rsidRPr="007942F5">
              <w:rPr>
                <w:sz w:val="18"/>
              </w:rPr>
              <w:t>Virtually no relevant evidence and/or very serious errors of fact.  Problems in quoted and paraphrased material that indicate a case of either intentional or unintentional plagiarism</w:t>
            </w:r>
          </w:p>
        </w:tc>
        <w:tc>
          <w:tcPr>
            <w:tcW w:w="2070" w:type="dxa"/>
            <w:tcBorders>
              <w:bottom w:val="single" w:sz="6" w:space="0" w:color="000000"/>
            </w:tcBorders>
          </w:tcPr>
          <w:p w14:paraId="0F6FCFE2" w14:textId="77777777" w:rsidR="007942F5" w:rsidRPr="007942F5" w:rsidRDefault="007942F5" w:rsidP="007942F5">
            <w:pPr>
              <w:spacing w:before="100" w:after="54"/>
              <w:rPr>
                <w:sz w:val="18"/>
              </w:rPr>
            </w:pPr>
            <w:r w:rsidRPr="007942F5">
              <w:rPr>
                <w:sz w:val="18"/>
              </w:rPr>
              <w:t>Writing is nearly unintelligible.</w:t>
            </w:r>
          </w:p>
        </w:tc>
        <w:tc>
          <w:tcPr>
            <w:tcW w:w="1620" w:type="dxa"/>
            <w:tcBorders>
              <w:bottom w:val="single" w:sz="6" w:space="0" w:color="000000"/>
            </w:tcBorders>
          </w:tcPr>
          <w:p w14:paraId="4F86D0CA" w14:textId="77777777" w:rsidR="007942F5" w:rsidRPr="007942F5" w:rsidRDefault="007942F5" w:rsidP="007942F5">
            <w:pPr>
              <w:spacing w:before="100" w:after="54"/>
              <w:rPr>
                <w:sz w:val="18"/>
              </w:rPr>
            </w:pPr>
            <w:r w:rsidRPr="007942F5">
              <w:rPr>
                <w:sz w:val="18"/>
              </w:rPr>
              <w:t>Massive errors which render paper nearly unintelligible.*</w:t>
            </w:r>
          </w:p>
        </w:tc>
      </w:tr>
    </w:tbl>
    <w:p w14:paraId="0B079542" w14:textId="77777777" w:rsidR="007942F5" w:rsidRPr="007942F5" w:rsidRDefault="007942F5" w:rsidP="007942F5">
      <w:pPr>
        <w:rPr>
          <w:sz w:val="18"/>
        </w:rPr>
      </w:pPr>
    </w:p>
    <w:p w14:paraId="3CF5C38B" w14:textId="77777777" w:rsidR="007942F5" w:rsidRPr="007942F5" w:rsidRDefault="007942F5" w:rsidP="007942F5"/>
    <w:p w14:paraId="3B5B8FAB" w14:textId="77777777" w:rsidR="007942F5" w:rsidRPr="007942F5" w:rsidRDefault="007942F5" w:rsidP="007942F5">
      <w:pPr>
        <w:ind w:firstLine="360"/>
      </w:pPr>
      <w:r w:rsidRPr="007942F5">
        <w:t>*Note: my response to your paper will not be aimed at correcting your grammar or mechanics, but any paper in which these mistakes are plentiful will not receive a high grade, regardless of the quality of the argument and evidence.  Students who clearly do not understand a grammatical or stylistic principle (passive voice, comma-splice, etc) will not be markedly penalized.  However, once I have explained the principle (in class, in office hours, or in the paper’s annotations), the repetition of these errors in future assignments will dramatically reduce your grade.</w:t>
      </w:r>
    </w:p>
    <w:p w14:paraId="42A3580E" w14:textId="77777777" w:rsidR="007942F5" w:rsidRPr="007942F5" w:rsidRDefault="007942F5" w:rsidP="007942F5">
      <w:pPr>
        <w:ind w:firstLine="360"/>
        <w:rPr>
          <w:sz w:val="22"/>
        </w:rPr>
      </w:pPr>
    </w:p>
    <w:p w14:paraId="0F75EF20" w14:textId="77777777" w:rsidR="007942F5" w:rsidRPr="007942F5" w:rsidRDefault="007942F5" w:rsidP="007942F5">
      <w:pPr>
        <w:ind w:firstLine="360"/>
        <w:rPr>
          <w:sz w:val="22"/>
        </w:rPr>
      </w:pPr>
    </w:p>
    <w:p w14:paraId="3A635087" w14:textId="77777777" w:rsidR="007942F5" w:rsidRPr="007942F5" w:rsidRDefault="007942F5" w:rsidP="007942F5">
      <w:pPr>
        <w:ind w:firstLine="360"/>
        <w:rPr>
          <w:sz w:val="22"/>
        </w:rPr>
      </w:pPr>
    </w:p>
    <w:p w14:paraId="0F1523D6" w14:textId="77777777" w:rsidR="007942F5" w:rsidRPr="007942F5" w:rsidRDefault="007942F5" w:rsidP="007942F5">
      <w:pPr>
        <w:ind w:firstLine="360"/>
        <w:rPr>
          <w:sz w:val="22"/>
        </w:rPr>
      </w:pPr>
    </w:p>
    <w:p w14:paraId="390C8596" w14:textId="77777777" w:rsidR="005936AF" w:rsidRPr="00A96B0C" w:rsidRDefault="005936AF" w:rsidP="00A96B0C">
      <w:pPr>
        <w:ind w:right="-180"/>
        <w:rPr>
          <w:sz w:val="22"/>
        </w:rPr>
      </w:pPr>
    </w:p>
    <w:sectPr w:rsidR="005936AF" w:rsidRPr="00A96B0C" w:rsidSect="0041522A">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5A006" w14:textId="77777777" w:rsidR="00B35886" w:rsidRDefault="00B35886">
      <w:r>
        <w:separator/>
      </w:r>
    </w:p>
  </w:endnote>
  <w:endnote w:type="continuationSeparator" w:id="0">
    <w:p w14:paraId="203F6598" w14:textId="77777777" w:rsidR="00B35886" w:rsidRDefault="00B3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D91DA" w14:textId="77777777" w:rsidR="00B35886" w:rsidRDefault="00B35886">
      <w:r>
        <w:separator/>
      </w:r>
    </w:p>
  </w:footnote>
  <w:footnote w:type="continuationSeparator" w:id="0">
    <w:p w14:paraId="52E2920A" w14:textId="77777777" w:rsidR="00B35886" w:rsidRDefault="00B35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565A" w14:textId="77777777" w:rsidR="00B35886" w:rsidRDefault="00B35886" w:rsidP="004152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29BBB" w14:textId="77777777" w:rsidR="00B35886" w:rsidRDefault="00B35886" w:rsidP="004152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306F1" w14:textId="77777777" w:rsidR="00B35886" w:rsidRDefault="00B35886" w:rsidP="004152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4EF">
      <w:rPr>
        <w:rStyle w:val="PageNumber"/>
        <w:noProof/>
      </w:rPr>
      <w:t>4</w:t>
    </w:r>
    <w:r>
      <w:rPr>
        <w:rStyle w:val="PageNumber"/>
      </w:rPr>
      <w:fldChar w:fldCharType="end"/>
    </w:r>
  </w:p>
  <w:p w14:paraId="091E3DBF" w14:textId="77777777" w:rsidR="00B35886" w:rsidRDefault="00B35886" w:rsidP="0041522A">
    <w:pPr>
      <w:pStyle w:val="Header"/>
      <w:ind w:right="36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E91"/>
    <w:multiLevelType w:val="hybridMultilevel"/>
    <w:tmpl w:val="012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52877"/>
    <w:multiLevelType w:val="hybridMultilevel"/>
    <w:tmpl w:val="3208E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2265F00"/>
    <w:multiLevelType w:val="multilevel"/>
    <w:tmpl w:val="917E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5279B"/>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61CB7E79"/>
    <w:multiLevelType w:val="hybridMultilevel"/>
    <w:tmpl w:val="77A4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44AEC"/>
    <w:multiLevelType w:val="hybridMultilevel"/>
    <w:tmpl w:val="0D78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56382"/>
    <w:multiLevelType w:val="hybridMultilevel"/>
    <w:tmpl w:val="68A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0C"/>
    <w:rsid w:val="00001D5F"/>
    <w:rsid w:val="00004353"/>
    <w:rsid w:val="00004D59"/>
    <w:rsid w:val="00011A81"/>
    <w:rsid w:val="00012BFA"/>
    <w:rsid w:val="00021928"/>
    <w:rsid w:val="00033418"/>
    <w:rsid w:val="000339F1"/>
    <w:rsid w:val="00034437"/>
    <w:rsid w:val="000431E5"/>
    <w:rsid w:val="00054267"/>
    <w:rsid w:val="00060B2C"/>
    <w:rsid w:val="00064150"/>
    <w:rsid w:val="00064B43"/>
    <w:rsid w:val="00086F06"/>
    <w:rsid w:val="00091731"/>
    <w:rsid w:val="00097513"/>
    <w:rsid w:val="000A3C47"/>
    <w:rsid w:val="000B10F2"/>
    <w:rsid w:val="000C0017"/>
    <w:rsid w:val="000C2D74"/>
    <w:rsid w:val="000D1CFE"/>
    <w:rsid w:val="000D55E1"/>
    <w:rsid w:val="000F6212"/>
    <w:rsid w:val="0010621C"/>
    <w:rsid w:val="00110E08"/>
    <w:rsid w:val="00114F55"/>
    <w:rsid w:val="00117B76"/>
    <w:rsid w:val="00120146"/>
    <w:rsid w:val="0012729C"/>
    <w:rsid w:val="00132E93"/>
    <w:rsid w:val="00152176"/>
    <w:rsid w:val="00152CFF"/>
    <w:rsid w:val="0017189C"/>
    <w:rsid w:val="001754D5"/>
    <w:rsid w:val="00183C1F"/>
    <w:rsid w:val="001967DF"/>
    <w:rsid w:val="001A63DF"/>
    <w:rsid w:val="001D32A9"/>
    <w:rsid w:val="001E0AD8"/>
    <w:rsid w:val="001E0FFC"/>
    <w:rsid w:val="001E2312"/>
    <w:rsid w:val="001E2AE9"/>
    <w:rsid w:val="001F437F"/>
    <w:rsid w:val="00203E72"/>
    <w:rsid w:val="00203EEE"/>
    <w:rsid w:val="00205BD5"/>
    <w:rsid w:val="00206EF7"/>
    <w:rsid w:val="00207E1C"/>
    <w:rsid w:val="00210EFF"/>
    <w:rsid w:val="00215324"/>
    <w:rsid w:val="00217961"/>
    <w:rsid w:val="00225C85"/>
    <w:rsid w:val="0023088B"/>
    <w:rsid w:val="00233134"/>
    <w:rsid w:val="00233F8F"/>
    <w:rsid w:val="00236579"/>
    <w:rsid w:val="00240F77"/>
    <w:rsid w:val="00251EC8"/>
    <w:rsid w:val="00253B52"/>
    <w:rsid w:val="00256291"/>
    <w:rsid w:val="00261D8C"/>
    <w:rsid w:val="0026316C"/>
    <w:rsid w:val="00264A3C"/>
    <w:rsid w:val="00276825"/>
    <w:rsid w:val="0027704A"/>
    <w:rsid w:val="00297FCE"/>
    <w:rsid w:val="002A3B17"/>
    <w:rsid w:val="002C1219"/>
    <w:rsid w:val="002C259C"/>
    <w:rsid w:val="002C4E22"/>
    <w:rsid w:val="002D70DB"/>
    <w:rsid w:val="002E0ED7"/>
    <w:rsid w:val="002E2050"/>
    <w:rsid w:val="002F205C"/>
    <w:rsid w:val="003004C8"/>
    <w:rsid w:val="00306F1A"/>
    <w:rsid w:val="0031203E"/>
    <w:rsid w:val="003164B7"/>
    <w:rsid w:val="00321B51"/>
    <w:rsid w:val="003328D6"/>
    <w:rsid w:val="003344B8"/>
    <w:rsid w:val="00334EFE"/>
    <w:rsid w:val="00335E66"/>
    <w:rsid w:val="00337CD0"/>
    <w:rsid w:val="003631AD"/>
    <w:rsid w:val="003656BF"/>
    <w:rsid w:val="00367ADE"/>
    <w:rsid w:val="00374F09"/>
    <w:rsid w:val="003808B9"/>
    <w:rsid w:val="0038229B"/>
    <w:rsid w:val="0038300C"/>
    <w:rsid w:val="003842E5"/>
    <w:rsid w:val="003C4727"/>
    <w:rsid w:val="003C50BA"/>
    <w:rsid w:val="003C61AD"/>
    <w:rsid w:val="003F108B"/>
    <w:rsid w:val="003F151C"/>
    <w:rsid w:val="003F2E18"/>
    <w:rsid w:val="00401F7F"/>
    <w:rsid w:val="00413590"/>
    <w:rsid w:val="0041370D"/>
    <w:rsid w:val="00414241"/>
    <w:rsid w:val="0041522A"/>
    <w:rsid w:val="00415F22"/>
    <w:rsid w:val="00422702"/>
    <w:rsid w:val="00431DA3"/>
    <w:rsid w:val="0043550A"/>
    <w:rsid w:val="00441E3E"/>
    <w:rsid w:val="00443609"/>
    <w:rsid w:val="00464288"/>
    <w:rsid w:val="00473D0A"/>
    <w:rsid w:val="00477540"/>
    <w:rsid w:val="00481839"/>
    <w:rsid w:val="0049399E"/>
    <w:rsid w:val="0049523A"/>
    <w:rsid w:val="00497D8E"/>
    <w:rsid w:val="004B3DF6"/>
    <w:rsid w:val="004B627D"/>
    <w:rsid w:val="004C5A24"/>
    <w:rsid w:val="004E2DFD"/>
    <w:rsid w:val="004E4246"/>
    <w:rsid w:val="004E4D46"/>
    <w:rsid w:val="004E6A20"/>
    <w:rsid w:val="004E6CDE"/>
    <w:rsid w:val="004F2E68"/>
    <w:rsid w:val="00501B9F"/>
    <w:rsid w:val="00517AD8"/>
    <w:rsid w:val="0052313C"/>
    <w:rsid w:val="00524631"/>
    <w:rsid w:val="005271E3"/>
    <w:rsid w:val="00527A57"/>
    <w:rsid w:val="0053014E"/>
    <w:rsid w:val="00530A6A"/>
    <w:rsid w:val="00532D0D"/>
    <w:rsid w:val="00540F3B"/>
    <w:rsid w:val="00545859"/>
    <w:rsid w:val="00561AD1"/>
    <w:rsid w:val="005708CF"/>
    <w:rsid w:val="0057724D"/>
    <w:rsid w:val="00583989"/>
    <w:rsid w:val="00583A3E"/>
    <w:rsid w:val="005936AF"/>
    <w:rsid w:val="005A4425"/>
    <w:rsid w:val="005B5A84"/>
    <w:rsid w:val="005C0E58"/>
    <w:rsid w:val="005D14EB"/>
    <w:rsid w:val="005D7BE9"/>
    <w:rsid w:val="005E52CB"/>
    <w:rsid w:val="005E5FDE"/>
    <w:rsid w:val="0060678E"/>
    <w:rsid w:val="006276AE"/>
    <w:rsid w:val="00631A92"/>
    <w:rsid w:val="00634420"/>
    <w:rsid w:val="0063760A"/>
    <w:rsid w:val="00637F90"/>
    <w:rsid w:val="00644530"/>
    <w:rsid w:val="00645100"/>
    <w:rsid w:val="00652577"/>
    <w:rsid w:val="006567B4"/>
    <w:rsid w:val="00664A92"/>
    <w:rsid w:val="00667172"/>
    <w:rsid w:val="006674B4"/>
    <w:rsid w:val="00667BDA"/>
    <w:rsid w:val="006732C0"/>
    <w:rsid w:val="00677E96"/>
    <w:rsid w:val="00683334"/>
    <w:rsid w:val="00685EF4"/>
    <w:rsid w:val="00686EFE"/>
    <w:rsid w:val="00690BF3"/>
    <w:rsid w:val="00691D5B"/>
    <w:rsid w:val="0069640C"/>
    <w:rsid w:val="006A1469"/>
    <w:rsid w:val="006C0809"/>
    <w:rsid w:val="006C3499"/>
    <w:rsid w:val="006D614A"/>
    <w:rsid w:val="006E4AE7"/>
    <w:rsid w:val="006F06F2"/>
    <w:rsid w:val="006F116A"/>
    <w:rsid w:val="006F52AA"/>
    <w:rsid w:val="006F5721"/>
    <w:rsid w:val="00700705"/>
    <w:rsid w:val="0071259D"/>
    <w:rsid w:val="00715D33"/>
    <w:rsid w:val="00715D3E"/>
    <w:rsid w:val="007209B9"/>
    <w:rsid w:val="007349BB"/>
    <w:rsid w:val="007359DB"/>
    <w:rsid w:val="00737A1C"/>
    <w:rsid w:val="00742EE8"/>
    <w:rsid w:val="007438E4"/>
    <w:rsid w:val="00754DAA"/>
    <w:rsid w:val="00757F35"/>
    <w:rsid w:val="00761AA1"/>
    <w:rsid w:val="00767E85"/>
    <w:rsid w:val="00775C4F"/>
    <w:rsid w:val="00777122"/>
    <w:rsid w:val="007806DF"/>
    <w:rsid w:val="007844C7"/>
    <w:rsid w:val="007942F5"/>
    <w:rsid w:val="00794E31"/>
    <w:rsid w:val="0079575C"/>
    <w:rsid w:val="007971B6"/>
    <w:rsid w:val="007979EB"/>
    <w:rsid w:val="007A0DD6"/>
    <w:rsid w:val="007A2A23"/>
    <w:rsid w:val="007A4038"/>
    <w:rsid w:val="007B3915"/>
    <w:rsid w:val="007C049F"/>
    <w:rsid w:val="007C4ECC"/>
    <w:rsid w:val="007E0AFA"/>
    <w:rsid w:val="007E2156"/>
    <w:rsid w:val="007E6F38"/>
    <w:rsid w:val="007F7A34"/>
    <w:rsid w:val="00812604"/>
    <w:rsid w:val="00813483"/>
    <w:rsid w:val="008179D7"/>
    <w:rsid w:val="00820446"/>
    <w:rsid w:val="00821ECB"/>
    <w:rsid w:val="008226F7"/>
    <w:rsid w:val="008252E6"/>
    <w:rsid w:val="008276DB"/>
    <w:rsid w:val="00827C04"/>
    <w:rsid w:val="00833E30"/>
    <w:rsid w:val="008426B6"/>
    <w:rsid w:val="00845000"/>
    <w:rsid w:val="008529E3"/>
    <w:rsid w:val="00853AA1"/>
    <w:rsid w:val="00856C11"/>
    <w:rsid w:val="008603AE"/>
    <w:rsid w:val="008878D7"/>
    <w:rsid w:val="00887EA0"/>
    <w:rsid w:val="00892947"/>
    <w:rsid w:val="00897CB9"/>
    <w:rsid w:val="008A2FC2"/>
    <w:rsid w:val="008B7FA3"/>
    <w:rsid w:val="008E5C76"/>
    <w:rsid w:val="008F0FA0"/>
    <w:rsid w:val="008F3495"/>
    <w:rsid w:val="00900276"/>
    <w:rsid w:val="0090387C"/>
    <w:rsid w:val="00914D15"/>
    <w:rsid w:val="00915449"/>
    <w:rsid w:val="009210BB"/>
    <w:rsid w:val="00922BAD"/>
    <w:rsid w:val="00925BE0"/>
    <w:rsid w:val="00925CF1"/>
    <w:rsid w:val="00925DA2"/>
    <w:rsid w:val="009276EE"/>
    <w:rsid w:val="009302A9"/>
    <w:rsid w:val="00934FEF"/>
    <w:rsid w:val="00952EC7"/>
    <w:rsid w:val="00963370"/>
    <w:rsid w:val="00970001"/>
    <w:rsid w:val="0097012C"/>
    <w:rsid w:val="009716CE"/>
    <w:rsid w:val="00983614"/>
    <w:rsid w:val="00991E08"/>
    <w:rsid w:val="009C2652"/>
    <w:rsid w:val="009C2828"/>
    <w:rsid w:val="009E747E"/>
    <w:rsid w:val="009F061C"/>
    <w:rsid w:val="009F2BDD"/>
    <w:rsid w:val="009F37BA"/>
    <w:rsid w:val="00A07A3A"/>
    <w:rsid w:val="00A12E88"/>
    <w:rsid w:val="00A1484B"/>
    <w:rsid w:val="00A2063D"/>
    <w:rsid w:val="00A31193"/>
    <w:rsid w:val="00A328BA"/>
    <w:rsid w:val="00A4722F"/>
    <w:rsid w:val="00A55F70"/>
    <w:rsid w:val="00A576D7"/>
    <w:rsid w:val="00A618EB"/>
    <w:rsid w:val="00A67DA2"/>
    <w:rsid w:val="00A714CB"/>
    <w:rsid w:val="00A7331D"/>
    <w:rsid w:val="00A759CA"/>
    <w:rsid w:val="00A777CA"/>
    <w:rsid w:val="00A80738"/>
    <w:rsid w:val="00A87A11"/>
    <w:rsid w:val="00A9484E"/>
    <w:rsid w:val="00A96B0C"/>
    <w:rsid w:val="00AA03E0"/>
    <w:rsid w:val="00AB5F2F"/>
    <w:rsid w:val="00AD0090"/>
    <w:rsid w:val="00AD0566"/>
    <w:rsid w:val="00AD24A9"/>
    <w:rsid w:val="00AD6022"/>
    <w:rsid w:val="00AE5EDD"/>
    <w:rsid w:val="00AF2DFC"/>
    <w:rsid w:val="00B0076E"/>
    <w:rsid w:val="00B1048D"/>
    <w:rsid w:val="00B32B2B"/>
    <w:rsid w:val="00B35886"/>
    <w:rsid w:val="00B40AFF"/>
    <w:rsid w:val="00B43243"/>
    <w:rsid w:val="00B45DA3"/>
    <w:rsid w:val="00B579CA"/>
    <w:rsid w:val="00B60561"/>
    <w:rsid w:val="00B63090"/>
    <w:rsid w:val="00B66AA3"/>
    <w:rsid w:val="00B6787F"/>
    <w:rsid w:val="00B723CC"/>
    <w:rsid w:val="00B733F7"/>
    <w:rsid w:val="00B756AC"/>
    <w:rsid w:val="00B771FD"/>
    <w:rsid w:val="00B815DC"/>
    <w:rsid w:val="00B87B21"/>
    <w:rsid w:val="00B91173"/>
    <w:rsid w:val="00B916FB"/>
    <w:rsid w:val="00B94A2C"/>
    <w:rsid w:val="00B96F3E"/>
    <w:rsid w:val="00BA6D8E"/>
    <w:rsid w:val="00BB3F71"/>
    <w:rsid w:val="00BB4A93"/>
    <w:rsid w:val="00BC1BA6"/>
    <w:rsid w:val="00BC7D53"/>
    <w:rsid w:val="00BD0A1C"/>
    <w:rsid w:val="00BF1034"/>
    <w:rsid w:val="00BF25C6"/>
    <w:rsid w:val="00C004EF"/>
    <w:rsid w:val="00C10E6E"/>
    <w:rsid w:val="00C1341F"/>
    <w:rsid w:val="00C22067"/>
    <w:rsid w:val="00C37F3A"/>
    <w:rsid w:val="00C40011"/>
    <w:rsid w:val="00C40B8C"/>
    <w:rsid w:val="00C43ED3"/>
    <w:rsid w:val="00C44D9E"/>
    <w:rsid w:val="00C47233"/>
    <w:rsid w:val="00C50DCD"/>
    <w:rsid w:val="00C5454E"/>
    <w:rsid w:val="00C5794F"/>
    <w:rsid w:val="00C651CF"/>
    <w:rsid w:val="00C718EE"/>
    <w:rsid w:val="00C808A0"/>
    <w:rsid w:val="00C86653"/>
    <w:rsid w:val="00C92986"/>
    <w:rsid w:val="00C92AD7"/>
    <w:rsid w:val="00C95367"/>
    <w:rsid w:val="00CC33C1"/>
    <w:rsid w:val="00CD4425"/>
    <w:rsid w:val="00CE3D6E"/>
    <w:rsid w:val="00CE4DE8"/>
    <w:rsid w:val="00CE7914"/>
    <w:rsid w:val="00CF0EC9"/>
    <w:rsid w:val="00CF1681"/>
    <w:rsid w:val="00CF3FE8"/>
    <w:rsid w:val="00CF566A"/>
    <w:rsid w:val="00CF66C3"/>
    <w:rsid w:val="00CF7C44"/>
    <w:rsid w:val="00D00DAA"/>
    <w:rsid w:val="00D10FF0"/>
    <w:rsid w:val="00D1236B"/>
    <w:rsid w:val="00D14D5E"/>
    <w:rsid w:val="00D15277"/>
    <w:rsid w:val="00D15BE0"/>
    <w:rsid w:val="00D171A5"/>
    <w:rsid w:val="00D272E6"/>
    <w:rsid w:val="00D31B86"/>
    <w:rsid w:val="00D3517B"/>
    <w:rsid w:val="00D37AFA"/>
    <w:rsid w:val="00D40B6B"/>
    <w:rsid w:val="00D41B1E"/>
    <w:rsid w:val="00D4633F"/>
    <w:rsid w:val="00D47314"/>
    <w:rsid w:val="00D4790B"/>
    <w:rsid w:val="00D50C1C"/>
    <w:rsid w:val="00D7518D"/>
    <w:rsid w:val="00D75AB8"/>
    <w:rsid w:val="00D75DD7"/>
    <w:rsid w:val="00D820E3"/>
    <w:rsid w:val="00D85B4A"/>
    <w:rsid w:val="00D92A40"/>
    <w:rsid w:val="00D93330"/>
    <w:rsid w:val="00DA2AA8"/>
    <w:rsid w:val="00DA7F49"/>
    <w:rsid w:val="00DB0660"/>
    <w:rsid w:val="00DD79FE"/>
    <w:rsid w:val="00DE761B"/>
    <w:rsid w:val="00DE7F6F"/>
    <w:rsid w:val="00E265F4"/>
    <w:rsid w:val="00E300C9"/>
    <w:rsid w:val="00E32EF2"/>
    <w:rsid w:val="00E415ED"/>
    <w:rsid w:val="00E5300A"/>
    <w:rsid w:val="00E64BCD"/>
    <w:rsid w:val="00E76073"/>
    <w:rsid w:val="00E7613E"/>
    <w:rsid w:val="00E76C61"/>
    <w:rsid w:val="00E9074D"/>
    <w:rsid w:val="00E97BC0"/>
    <w:rsid w:val="00EA7E62"/>
    <w:rsid w:val="00EB0BF7"/>
    <w:rsid w:val="00EC1696"/>
    <w:rsid w:val="00ED3D6A"/>
    <w:rsid w:val="00EE051F"/>
    <w:rsid w:val="00EE2C6E"/>
    <w:rsid w:val="00EE45A4"/>
    <w:rsid w:val="00EE4B92"/>
    <w:rsid w:val="00EF24F1"/>
    <w:rsid w:val="00EF559A"/>
    <w:rsid w:val="00F04117"/>
    <w:rsid w:val="00F134E5"/>
    <w:rsid w:val="00F17D60"/>
    <w:rsid w:val="00F207AC"/>
    <w:rsid w:val="00F31416"/>
    <w:rsid w:val="00F33BE5"/>
    <w:rsid w:val="00F35D51"/>
    <w:rsid w:val="00F37FB1"/>
    <w:rsid w:val="00F40FCF"/>
    <w:rsid w:val="00F569C3"/>
    <w:rsid w:val="00F60482"/>
    <w:rsid w:val="00F60809"/>
    <w:rsid w:val="00F85952"/>
    <w:rsid w:val="00F86BB7"/>
    <w:rsid w:val="00F90E82"/>
    <w:rsid w:val="00F9373C"/>
    <w:rsid w:val="00FA00C6"/>
    <w:rsid w:val="00FA5339"/>
    <w:rsid w:val="00FB2936"/>
    <w:rsid w:val="00FB58B0"/>
    <w:rsid w:val="00FC1374"/>
    <w:rsid w:val="00FC448C"/>
    <w:rsid w:val="00FC5B42"/>
    <w:rsid w:val="00FD2574"/>
    <w:rsid w:val="00FD4934"/>
    <w:rsid w:val="00FE101C"/>
    <w:rsid w:val="00FE68F9"/>
    <w:rsid w:val="00FF27FF"/>
    <w:rsid w:val="00FF4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AD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A1C"/>
    <w:rPr>
      <w:color w:val="0000FF"/>
      <w:u w:val="single"/>
    </w:rPr>
  </w:style>
  <w:style w:type="paragraph" w:styleId="Header">
    <w:name w:val="header"/>
    <w:basedOn w:val="Normal"/>
    <w:rsid w:val="00737A1C"/>
    <w:pPr>
      <w:tabs>
        <w:tab w:val="center" w:pos="4320"/>
        <w:tab w:val="right" w:pos="8640"/>
      </w:tabs>
    </w:pPr>
  </w:style>
  <w:style w:type="paragraph" w:styleId="Footer">
    <w:name w:val="footer"/>
    <w:basedOn w:val="Normal"/>
    <w:rsid w:val="00737A1C"/>
    <w:pPr>
      <w:tabs>
        <w:tab w:val="center" w:pos="4320"/>
        <w:tab w:val="right" w:pos="8640"/>
      </w:tabs>
    </w:pPr>
  </w:style>
  <w:style w:type="character" w:styleId="PageNumber">
    <w:name w:val="page number"/>
    <w:basedOn w:val="DefaultParagraphFont"/>
    <w:rsid w:val="00737A1C"/>
  </w:style>
  <w:style w:type="paragraph" w:styleId="NoSpacing">
    <w:name w:val="No Spacing"/>
    <w:uiPriority w:val="1"/>
    <w:qFormat/>
    <w:rsid w:val="002C25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C2652"/>
    <w:rPr>
      <w:rFonts w:ascii="Arial" w:hAnsi="Arial" w:cs="Arial"/>
      <w:sz w:val="16"/>
      <w:szCs w:val="16"/>
    </w:rPr>
  </w:style>
  <w:style w:type="character" w:customStyle="1" w:styleId="BalloonTextChar">
    <w:name w:val="Balloon Text Char"/>
    <w:basedOn w:val="DefaultParagraphFont"/>
    <w:link w:val="BalloonText"/>
    <w:uiPriority w:val="99"/>
    <w:semiHidden/>
    <w:rsid w:val="009C2652"/>
    <w:rPr>
      <w:rFonts w:ascii="Arial" w:hAnsi="Arial" w:cs="Arial"/>
      <w:sz w:val="16"/>
      <w:szCs w:val="16"/>
    </w:rPr>
  </w:style>
  <w:style w:type="character" w:customStyle="1" w:styleId="apple-converted-space">
    <w:name w:val="apple-converted-space"/>
    <w:basedOn w:val="DefaultParagraphFont"/>
    <w:rsid w:val="00652577"/>
  </w:style>
  <w:style w:type="character" w:customStyle="1" w:styleId="object">
    <w:name w:val="object"/>
    <w:basedOn w:val="DefaultParagraphFont"/>
    <w:rsid w:val="00652577"/>
  </w:style>
  <w:style w:type="paragraph" w:styleId="ListParagraph">
    <w:name w:val="List Paragraph"/>
    <w:basedOn w:val="Normal"/>
    <w:uiPriority w:val="34"/>
    <w:qFormat/>
    <w:rsid w:val="00652577"/>
    <w:pPr>
      <w:ind w:left="720"/>
      <w:contextualSpacing/>
    </w:pPr>
  </w:style>
  <w:style w:type="character" w:styleId="IntenseReference">
    <w:name w:val="Intense Reference"/>
    <w:basedOn w:val="DefaultParagraphFont"/>
    <w:uiPriority w:val="32"/>
    <w:qFormat/>
    <w:rsid w:val="00652577"/>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A1C"/>
    <w:rPr>
      <w:color w:val="0000FF"/>
      <w:u w:val="single"/>
    </w:rPr>
  </w:style>
  <w:style w:type="paragraph" w:styleId="Header">
    <w:name w:val="header"/>
    <w:basedOn w:val="Normal"/>
    <w:rsid w:val="00737A1C"/>
    <w:pPr>
      <w:tabs>
        <w:tab w:val="center" w:pos="4320"/>
        <w:tab w:val="right" w:pos="8640"/>
      </w:tabs>
    </w:pPr>
  </w:style>
  <w:style w:type="paragraph" w:styleId="Footer">
    <w:name w:val="footer"/>
    <w:basedOn w:val="Normal"/>
    <w:rsid w:val="00737A1C"/>
    <w:pPr>
      <w:tabs>
        <w:tab w:val="center" w:pos="4320"/>
        <w:tab w:val="right" w:pos="8640"/>
      </w:tabs>
    </w:pPr>
  </w:style>
  <w:style w:type="character" w:styleId="PageNumber">
    <w:name w:val="page number"/>
    <w:basedOn w:val="DefaultParagraphFont"/>
    <w:rsid w:val="00737A1C"/>
  </w:style>
  <w:style w:type="paragraph" w:styleId="NoSpacing">
    <w:name w:val="No Spacing"/>
    <w:uiPriority w:val="1"/>
    <w:qFormat/>
    <w:rsid w:val="002C25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C2652"/>
    <w:rPr>
      <w:rFonts w:ascii="Arial" w:hAnsi="Arial" w:cs="Arial"/>
      <w:sz w:val="16"/>
      <w:szCs w:val="16"/>
    </w:rPr>
  </w:style>
  <w:style w:type="character" w:customStyle="1" w:styleId="BalloonTextChar">
    <w:name w:val="Balloon Text Char"/>
    <w:basedOn w:val="DefaultParagraphFont"/>
    <w:link w:val="BalloonText"/>
    <w:uiPriority w:val="99"/>
    <w:semiHidden/>
    <w:rsid w:val="009C2652"/>
    <w:rPr>
      <w:rFonts w:ascii="Arial" w:hAnsi="Arial" w:cs="Arial"/>
      <w:sz w:val="16"/>
      <w:szCs w:val="16"/>
    </w:rPr>
  </w:style>
  <w:style w:type="character" w:customStyle="1" w:styleId="apple-converted-space">
    <w:name w:val="apple-converted-space"/>
    <w:basedOn w:val="DefaultParagraphFont"/>
    <w:rsid w:val="00652577"/>
  </w:style>
  <w:style w:type="character" w:customStyle="1" w:styleId="object">
    <w:name w:val="object"/>
    <w:basedOn w:val="DefaultParagraphFont"/>
    <w:rsid w:val="00652577"/>
  </w:style>
  <w:style w:type="paragraph" w:styleId="ListParagraph">
    <w:name w:val="List Paragraph"/>
    <w:basedOn w:val="Normal"/>
    <w:uiPriority w:val="34"/>
    <w:qFormat/>
    <w:rsid w:val="00652577"/>
    <w:pPr>
      <w:ind w:left="720"/>
      <w:contextualSpacing/>
    </w:pPr>
  </w:style>
  <w:style w:type="character" w:styleId="IntenseReference">
    <w:name w:val="Intense Reference"/>
    <w:basedOn w:val="DefaultParagraphFont"/>
    <w:uiPriority w:val="32"/>
    <w:qFormat/>
    <w:rsid w:val="0065257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8940">
      <w:bodyDiv w:val="1"/>
      <w:marLeft w:val="0"/>
      <w:marRight w:val="0"/>
      <w:marTop w:val="0"/>
      <w:marBottom w:val="0"/>
      <w:divBdr>
        <w:top w:val="none" w:sz="0" w:space="0" w:color="auto"/>
        <w:left w:val="none" w:sz="0" w:space="0" w:color="auto"/>
        <w:bottom w:val="none" w:sz="0" w:space="0" w:color="auto"/>
        <w:right w:val="none" w:sz="0" w:space="0" w:color="auto"/>
      </w:divBdr>
    </w:div>
    <w:div w:id="58016154">
      <w:bodyDiv w:val="1"/>
      <w:marLeft w:val="0"/>
      <w:marRight w:val="0"/>
      <w:marTop w:val="0"/>
      <w:marBottom w:val="0"/>
      <w:divBdr>
        <w:top w:val="none" w:sz="0" w:space="0" w:color="auto"/>
        <w:left w:val="none" w:sz="0" w:space="0" w:color="auto"/>
        <w:bottom w:val="none" w:sz="0" w:space="0" w:color="auto"/>
        <w:right w:val="none" w:sz="0" w:space="0" w:color="auto"/>
      </w:divBdr>
    </w:div>
    <w:div w:id="72557688">
      <w:bodyDiv w:val="1"/>
      <w:marLeft w:val="0"/>
      <w:marRight w:val="0"/>
      <w:marTop w:val="0"/>
      <w:marBottom w:val="0"/>
      <w:divBdr>
        <w:top w:val="none" w:sz="0" w:space="0" w:color="auto"/>
        <w:left w:val="none" w:sz="0" w:space="0" w:color="auto"/>
        <w:bottom w:val="none" w:sz="0" w:space="0" w:color="auto"/>
        <w:right w:val="none" w:sz="0" w:space="0" w:color="auto"/>
      </w:divBdr>
    </w:div>
    <w:div w:id="217665928">
      <w:bodyDiv w:val="1"/>
      <w:marLeft w:val="0"/>
      <w:marRight w:val="0"/>
      <w:marTop w:val="0"/>
      <w:marBottom w:val="0"/>
      <w:divBdr>
        <w:top w:val="none" w:sz="0" w:space="0" w:color="auto"/>
        <w:left w:val="none" w:sz="0" w:space="0" w:color="auto"/>
        <w:bottom w:val="none" w:sz="0" w:space="0" w:color="auto"/>
        <w:right w:val="none" w:sz="0" w:space="0" w:color="auto"/>
      </w:divBdr>
    </w:div>
    <w:div w:id="824054713">
      <w:bodyDiv w:val="1"/>
      <w:marLeft w:val="0"/>
      <w:marRight w:val="0"/>
      <w:marTop w:val="0"/>
      <w:marBottom w:val="0"/>
      <w:divBdr>
        <w:top w:val="none" w:sz="0" w:space="0" w:color="auto"/>
        <w:left w:val="none" w:sz="0" w:space="0" w:color="auto"/>
        <w:bottom w:val="none" w:sz="0" w:space="0" w:color="auto"/>
        <w:right w:val="none" w:sz="0" w:space="0" w:color="auto"/>
      </w:divBdr>
    </w:div>
    <w:div w:id="896280377">
      <w:bodyDiv w:val="1"/>
      <w:marLeft w:val="0"/>
      <w:marRight w:val="0"/>
      <w:marTop w:val="0"/>
      <w:marBottom w:val="0"/>
      <w:divBdr>
        <w:top w:val="none" w:sz="0" w:space="0" w:color="auto"/>
        <w:left w:val="none" w:sz="0" w:space="0" w:color="auto"/>
        <w:bottom w:val="none" w:sz="0" w:space="0" w:color="auto"/>
        <w:right w:val="none" w:sz="0" w:space="0" w:color="auto"/>
      </w:divBdr>
    </w:div>
    <w:div w:id="14997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licies.tcnj.edu/policies/digest.php?docId=9394" TargetMode="External"/><Relationship Id="rId9" Type="http://schemas.openxmlformats.org/officeDocument/2006/relationships/hyperlink" Target="http://www.tcnj.edu/~tutoring/humanities/writing.html" TargetMode="External"/><Relationship Id="rId10" Type="http://schemas.openxmlformats.org/officeDocument/2006/relationships/hyperlink" Target="mailto:blake@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2631</Words>
  <Characters>15002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Professor David Blake</vt:lpstr>
    </vt:vector>
  </TitlesOfParts>
  <Company>Microsoft</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David Blake</dc:title>
  <dc:creator>TCNJ</dc:creator>
  <cp:lastModifiedBy>David Blake</cp:lastModifiedBy>
  <cp:revision>3</cp:revision>
  <cp:lastPrinted>2015-08-20T15:42:00Z</cp:lastPrinted>
  <dcterms:created xsi:type="dcterms:W3CDTF">2015-11-24T03:24:00Z</dcterms:created>
  <dcterms:modified xsi:type="dcterms:W3CDTF">2015-11-24T03:24:00Z</dcterms:modified>
</cp:coreProperties>
</file>