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4834" w14:textId="77777777" w:rsidR="00C459FB" w:rsidRPr="00626924" w:rsidRDefault="00C459FB" w:rsidP="00C459FB">
      <w:pPr>
        <w:rPr>
          <w:b/>
        </w:rPr>
      </w:pPr>
      <w:r>
        <w:t>David Blake</w:t>
      </w:r>
      <w:r>
        <w:tab/>
      </w:r>
      <w:r>
        <w:tab/>
      </w:r>
      <w:r>
        <w:tab/>
      </w:r>
      <w:r>
        <w:tab/>
      </w:r>
      <w:r>
        <w:tab/>
      </w:r>
    </w:p>
    <w:p w14:paraId="46F4BB1F" w14:textId="77777777" w:rsidR="00C459FB" w:rsidRDefault="00C459FB" w:rsidP="00C459FB">
      <w:r>
        <w:t>Bliss Hall, 226</w:t>
      </w:r>
      <w:r>
        <w:tab/>
      </w:r>
      <w:r>
        <w:tab/>
      </w:r>
      <w:r>
        <w:tab/>
      </w:r>
      <w:r>
        <w:tab/>
      </w:r>
      <w:r>
        <w:tab/>
      </w:r>
      <w:r>
        <w:tab/>
      </w:r>
      <w:r>
        <w:tab/>
      </w:r>
    </w:p>
    <w:p w14:paraId="35BB71FF" w14:textId="6FB9D3AB" w:rsidR="00C459FB" w:rsidRDefault="00C459FB" w:rsidP="00C459FB">
      <w:r>
        <w:t xml:space="preserve">OH: M </w:t>
      </w:r>
      <w:proofErr w:type="spellStart"/>
      <w:r>
        <w:t>Th</w:t>
      </w:r>
      <w:proofErr w:type="spellEnd"/>
      <w:r>
        <w:t xml:space="preserve"> </w:t>
      </w:r>
      <w:r w:rsidR="001F57CC">
        <w:t>2:00-3:20</w:t>
      </w:r>
      <w:r>
        <w:t xml:space="preserve"> </w:t>
      </w:r>
      <w:r w:rsidRPr="000F3849">
        <w:rPr>
          <w:i/>
        </w:rPr>
        <w:t>and by appointment</w:t>
      </w:r>
    </w:p>
    <w:p w14:paraId="73112664" w14:textId="77777777" w:rsidR="00C459FB" w:rsidRDefault="00C459FB" w:rsidP="00C459FB">
      <w:r>
        <w:t>blake@tcnj.edu, 771-3048</w:t>
      </w:r>
    </w:p>
    <w:p w14:paraId="73FAB399" w14:textId="06C098AB" w:rsidR="00C459FB" w:rsidRDefault="00C459FB" w:rsidP="00C459FB">
      <w:r>
        <w:t>Spring 201</w:t>
      </w:r>
      <w:r w:rsidR="001F57CC">
        <w:t>5</w:t>
      </w:r>
    </w:p>
    <w:p w14:paraId="73C8FCB9" w14:textId="77777777" w:rsidR="00C459FB" w:rsidRDefault="00C459FB" w:rsidP="00C459FB"/>
    <w:p w14:paraId="00944710" w14:textId="77777777" w:rsidR="00C459FB" w:rsidRDefault="00C459FB" w:rsidP="00C459FB">
      <w:pPr>
        <w:pStyle w:val="Heading2"/>
      </w:pPr>
      <w:r>
        <w:t>Recovering the 1950s</w:t>
      </w:r>
    </w:p>
    <w:p w14:paraId="5376DC0C" w14:textId="77777777" w:rsidR="00C459FB" w:rsidRDefault="00C459FB" w:rsidP="00C459FB">
      <w:pPr>
        <w:jc w:val="center"/>
        <w:rPr>
          <w:b/>
        </w:rPr>
      </w:pPr>
    </w:p>
    <w:p w14:paraId="11E48AC9" w14:textId="77777777" w:rsidR="00C459FB" w:rsidRDefault="00C459FB" w:rsidP="00C459FB">
      <w:pPr>
        <w:pStyle w:val="Heading1"/>
        <w:rPr>
          <w:sz w:val="28"/>
        </w:rPr>
      </w:pPr>
      <w:r>
        <w:rPr>
          <w:sz w:val="28"/>
        </w:rPr>
        <w:t>Required Books:</w:t>
      </w:r>
    </w:p>
    <w:p w14:paraId="07ACF878" w14:textId="77777777" w:rsidR="00C459FB" w:rsidRDefault="00C459FB" w:rsidP="00C459FB">
      <w:pPr>
        <w:pStyle w:val="Header"/>
        <w:tabs>
          <w:tab w:val="clear" w:pos="4320"/>
          <w:tab w:val="clear" w:pos="8640"/>
        </w:tabs>
      </w:pPr>
    </w:p>
    <w:p w14:paraId="708FB2F6" w14:textId="461A72F1" w:rsidR="00970C19" w:rsidRPr="00970C19" w:rsidRDefault="00970C19" w:rsidP="00970C19">
      <w:pPr>
        <w:ind w:right="-270"/>
        <w:rPr>
          <w:szCs w:val="24"/>
        </w:rPr>
      </w:pPr>
      <w:r w:rsidRPr="00970C19">
        <w:rPr>
          <w:szCs w:val="24"/>
        </w:rPr>
        <w:t xml:space="preserve">David </w:t>
      </w:r>
      <w:proofErr w:type="spellStart"/>
      <w:r w:rsidRPr="00970C19">
        <w:rPr>
          <w:szCs w:val="24"/>
        </w:rPr>
        <w:t>Halberstam</w:t>
      </w:r>
      <w:proofErr w:type="spellEnd"/>
      <w:r w:rsidRPr="00970C19">
        <w:rPr>
          <w:szCs w:val="24"/>
        </w:rPr>
        <w:t xml:space="preserve">, </w:t>
      </w:r>
      <w:r w:rsidRPr="00970C19">
        <w:rPr>
          <w:i/>
          <w:szCs w:val="24"/>
        </w:rPr>
        <w:t>The Fifties</w:t>
      </w:r>
      <w:r w:rsidR="00226B4C">
        <w:rPr>
          <w:szCs w:val="24"/>
        </w:rPr>
        <w:t xml:space="preserve"> (Ballantine: 978</w:t>
      </w:r>
      <w:r w:rsidRPr="00970C19">
        <w:rPr>
          <w:szCs w:val="24"/>
        </w:rPr>
        <w:t>0449909331)</w:t>
      </w:r>
    </w:p>
    <w:p w14:paraId="53D18552" w14:textId="5DE7BD3C" w:rsidR="00970C19" w:rsidRPr="00970C19" w:rsidRDefault="00970C19" w:rsidP="00970C19">
      <w:pPr>
        <w:ind w:right="-270"/>
        <w:rPr>
          <w:szCs w:val="24"/>
        </w:rPr>
      </w:pPr>
      <w:r w:rsidRPr="00970C19">
        <w:rPr>
          <w:szCs w:val="24"/>
        </w:rPr>
        <w:t xml:space="preserve">Jack Kerouac, </w:t>
      </w:r>
      <w:r w:rsidRPr="00970C19">
        <w:rPr>
          <w:i/>
          <w:szCs w:val="24"/>
        </w:rPr>
        <w:t>On the Road</w:t>
      </w:r>
      <w:r w:rsidRPr="00970C19">
        <w:rPr>
          <w:szCs w:val="24"/>
        </w:rPr>
        <w:t xml:space="preserve"> (Penguin: Great </w:t>
      </w:r>
      <w:r w:rsidR="00226B4C">
        <w:rPr>
          <w:szCs w:val="24"/>
        </w:rPr>
        <w:t>Books Edition 978</w:t>
      </w:r>
      <w:r w:rsidRPr="00970C19">
        <w:rPr>
          <w:szCs w:val="24"/>
        </w:rPr>
        <w:t>0140283297)</w:t>
      </w:r>
    </w:p>
    <w:p w14:paraId="791CCC99" w14:textId="77777777" w:rsidR="00226B4C" w:rsidRDefault="00970C19" w:rsidP="00970C19">
      <w:pPr>
        <w:ind w:right="-270"/>
        <w:rPr>
          <w:szCs w:val="24"/>
        </w:rPr>
      </w:pPr>
      <w:r w:rsidRPr="00970C19">
        <w:rPr>
          <w:szCs w:val="24"/>
        </w:rPr>
        <w:t xml:space="preserve">Christopher </w:t>
      </w:r>
      <w:proofErr w:type="spellStart"/>
      <w:r w:rsidRPr="00970C19">
        <w:rPr>
          <w:szCs w:val="24"/>
        </w:rPr>
        <w:t>Metress</w:t>
      </w:r>
      <w:proofErr w:type="spellEnd"/>
      <w:r w:rsidRPr="00970C19">
        <w:rPr>
          <w:szCs w:val="24"/>
        </w:rPr>
        <w:t xml:space="preserve">, editor, </w:t>
      </w:r>
      <w:r w:rsidR="00226B4C">
        <w:rPr>
          <w:i/>
          <w:szCs w:val="24"/>
        </w:rPr>
        <w:t xml:space="preserve">The Lynching of </w:t>
      </w:r>
      <w:r w:rsidRPr="00D903A2">
        <w:rPr>
          <w:i/>
          <w:szCs w:val="24"/>
        </w:rPr>
        <w:t>Emmett Till: A Documentary Narrative</w:t>
      </w:r>
      <w:r w:rsidR="00226B4C">
        <w:rPr>
          <w:szCs w:val="24"/>
        </w:rPr>
        <w:t xml:space="preserve"> </w:t>
      </w:r>
    </w:p>
    <w:p w14:paraId="27F481AB" w14:textId="0E455066" w:rsidR="00970C19" w:rsidRPr="00970C19" w:rsidRDefault="00226B4C" w:rsidP="00226B4C">
      <w:pPr>
        <w:ind w:right="-270" w:firstLine="720"/>
        <w:rPr>
          <w:szCs w:val="24"/>
        </w:rPr>
      </w:pPr>
      <w:r>
        <w:rPr>
          <w:szCs w:val="24"/>
        </w:rPr>
        <w:t xml:space="preserve">(UVA </w:t>
      </w:r>
      <w:r w:rsidR="00970C19" w:rsidRPr="00970C19">
        <w:rPr>
          <w:szCs w:val="24"/>
        </w:rPr>
        <w:t>Press 978-0813921228)</w:t>
      </w:r>
    </w:p>
    <w:p w14:paraId="430AD4D4" w14:textId="6A1F3FA8" w:rsidR="00C459FB" w:rsidRDefault="00970C19" w:rsidP="00970C19">
      <w:pPr>
        <w:ind w:right="-270"/>
      </w:pPr>
      <w:r w:rsidRPr="00970C19">
        <w:rPr>
          <w:szCs w:val="24"/>
        </w:rPr>
        <w:t xml:space="preserve">Sloan Wilson, </w:t>
      </w:r>
      <w:r w:rsidRPr="00D903A2">
        <w:rPr>
          <w:i/>
          <w:szCs w:val="24"/>
        </w:rPr>
        <w:t>The Man in the Gray Flannel Suit</w:t>
      </w:r>
      <w:r w:rsidRPr="00970C19">
        <w:rPr>
          <w:szCs w:val="24"/>
        </w:rPr>
        <w:t xml:space="preserve"> (Da Capo Press: 978-1568582467)</w:t>
      </w:r>
    </w:p>
    <w:p w14:paraId="17C6AF59" w14:textId="77777777" w:rsidR="00D903A2" w:rsidRDefault="00D903A2" w:rsidP="00C459FB">
      <w:pPr>
        <w:ind w:right="-270"/>
        <w:rPr>
          <w:b/>
          <w:sz w:val="28"/>
        </w:rPr>
      </w:pPr>
    </w:p>
    <w:p w14:paraId="119399F1" w14:textId="77777777" w:rsidR="00C459FB" w:rsidRDefault="00C459FB" w:rsidP="00C459FB">
      <w:pPr>
        <w:ind w:right="-270"/>
        <w:rPr>
          <w:b/>
          <w:sz w:val="28"/>
        </w:rPr>
      </w:pPr>
      <w:r>
        <w:rPr>
          <w:b/>
          <w:sz w:val="28"/>
        </w:rPr>
        <w:t>Course Introduction and Learning Goals:</w:t>
      </w:r>
    </w:p>
    <w:p w14:paraId="66856C9E" w14:textId="77777777" w:rsidR="00C459FB" w:rsidRDefault="00C459FB" w:rsidP="00C459FB">
      <w:pPr>
        <w:ind w:right="-270"/>
        <w:rPr>
          <w:b/>
        </w:rPr>
      </w:pPr>
    </w:p>
    <w:p w14:paraId="58E770B8" w14:textId="6E520182" w:rsidR="004016D1" w:rsidRDefault="001F57CC" w:rsidP="00553021">
      <w:r>
        <w:t xml:space="preserve">Recovering the 1950s is an interdisciplinary course that is cross-listed with the English Department as LIT 370, the Honors program as HNR 301, and the United States Studies program as USA 301 (Seminar in Global America.)  The course is designed to draw on the interests and expertise of </w:t>
      </w:r>
      <w:r w:rsidR="004016D1">
        <w:t>students from a wide variety of majors</w:t>
      </w:r>
      <w:r w:rsidR="001D6041">
        <w:t xml:space="preserve"> in investigating the transformative </w:t>
      </w:r>
      <w:r w:rsidR="004016D1">
        <w:t>decade of the 1</w:t>
      </w:r>
      <w:r w:rsidR="009F0FAD">
        <w:t xml:space="preserve">950s.  </w:t>
      </w:r>
      <w:r w:rsidR="00553021">
        <w:t xml:space="preserve">Using a combination of scholarly, cultural, and archival sources, we will examine </w:t>
      </w:r>
      <w:r w:rsidR="001D6041">
        <w:t xml:space="preserve">the ways in which culture </w:t>
      </w:r>
      <w:r w:rsidR="001D6041">
        <w:rPr>
          <w:i/>
        </w:rPr>
        <w:t>happened</w:t>
      </w:r>
      <w:r w:rsidR="0012723D">
        <w:t xml:space="preserve"> during</w:t>
      </w:r>
      <w:r w:rsidR="00443E9F">
        <w:t xml:space="preserve"> this crucial period.  In examining the 1950s, we will immerse ourselves in a time when the Cold War was pervasive, television was </w:t>
      </w:r>
      <w:r w:rsidR="0012723D">
        <w:t xml:space="preserve">in its infancy, the economy was booming, automobiles </w:t>
      </w:r>
      <w:r w:rsidR="00443E9F">
        <w:t>were</w:t>
      </w:r>
      <w:r w:rsidR="0012723D">
        <w:t xml:space="preserve"> chang</w:t>
      </w:r>
      <w:r w:rsidR="00443E9F">
        <w:t>ing</w:t>
      </w:r>
      <w:r w:rsidR="0012723D">
        <w:t xml:space="preserve"> the national landscape, </w:t>
      </w:r>
      <w:r w:rsidR="00443E9F">
        <w:t xml:space="preserve">and the issue of </w:t>
      </w:r>
      <w:r w:rsidR="0012723D">
        <w:t xml:space="preserve">Civil Rights </w:t>
      </w:r>
      <w:r w:rsidR="00443E9F">
        <w:t>was</w:t>
      </w:r>
      <w:r w:rsidR="0012723D">
        <w:t xml:space="preserve"> push</w:t>
      </w:r>
      <w:r w:rsidR="00443E9F">
        <w:t>ing itself in</w:t>
      </w:r>
      <w:r w:rsidR="0012723D">
        <w:t xml:space="preserve">to national consciousness.  </w:t>
      </w:r>
    </w:p>
    <w:p w14:paraId="3350E23D" w14:textId="77777777" w:rsidR="004016D1" w:rsidRDefault="004016D1" w:rsidP="00553021"/>
    <w:p w14:paraId="3F0C0254" w14:textId="77777777" w:rsidR="00191835" w:rsidRDefault="009F0FAD" w:rsidP="00553021">
      <w:r>
        <w:t>The 1950s</w:t>
      </w:r>
      <w:r w:rsidR="0012723D">
        <w:t xml:space="preserve"> are an especially interesting period</w:t>
      </w:r>
      <w:r>
        <w:t xml:space="preserve"> for us to study, as</w:t>
      </w:r>
      <w:r w:rsidR="0012723D">
        <w:t xml:space="preserve"> the field of American Studies traces its origins to the height of the </w:t>
      </w:r>
      <w:r w:rsidR="00443E9F">
        <w:t>decade</w:t>
      </w:r>
      <w:r w:rsidR="0012723D">
        <w:t xml:space="preserve"> when academics and government officials alike sought to define what made American society exceptional and unique.  The discipline has developed considerably since those pioneering efforts, as scholars have seen the field less as an opportunity for national valorization and more a chance to examine the intricate way in which power and discourse is reflected in the United States</w:t>
      </w:r>
      <w:r w:rsidR="00443E9F">
        <w:t xml:space="preserve"> and its relation to the world at-large</w:t>
      </w:r>
      <w:r w:rsidR="0012723D">
        <w:t>.  (TCNJ’s p</w:t>
      </w:r>
      <w:r w:rsidR="004016D1">
        <w:t>rogram</w:t>
      </w:r>
      <w:r w:rsidR="00443E9F">
        <w:t>, we should note,</w:t>
      </w:r>
      <w:r w:rsidR="004016D1">
        <w:t xml:space="preserve"> is called United States </w:t>
      </w:r>
      <w:r w:rsidR="0012723D">
        <w:t xml:space="preserve">Studies </w:t>
      </w:r>
      <w:r w:rsidR="004016D1">
        <w:t xml:space="preserve">– not American Studies </w:t>
      </w:r>
      <w:r w:rsidR="00443E9F">
        <w:t>–</w:t>
      </w:r>
      <w:r w:rsidR="004016D1">
        <w:t xml:space="preserve"> </w:t>
      </w:r>
      <w:r w:rsidR="00443E9F">
        <w:t>to reflect this new perspective</w:t>
      </w:r>
      <w:r w:rsidR="0012723D">
        <w:t xml:space="preserve">.)  </w:t>
      </w:r>
      <w:r w:rsidR="005552F7">
        <w:t>Finally, t</w:t>
      </w:r>
      <w:r w:rsidR="00553021">
        <w:t xml:space="preserve">hroughout this seminar, we will pay special attention to the discovery and use of archival sources, contemplating the value of a wide range of print and material artifacts.   </w:t>
      </w:r>
    </w:p>
    <w:p w14:paraId="17DC7FD8" w14:textId="77777777" w:rsidR="00191835" w:rsidRDefault="00191835" w:rsidP="00553021"/>
    <w:p w14:paraId="012133F9" w14:textId="77777777" w:rsidR="00191835" w:rsidRDefault="00191835" w:rsidP="00553021"/>
    <w:p w14:paraId="41DA0E46" w14:textId="71D39B44" w:rsidR="00553021" w:rsidRDefault="00191835" w:rsidP="00553021">
      <w:r>
        <w:t>*See pg. 7 for a fuller explanation of learning goals and outcomes.</w:t>
      </w:r>
      <w:r w:rsidR="00553021">
        <w:t xml:space="preserve">   </w:t>
      </w:r>
    </w:p>
    <w:p w14:paraId="656265C6" w14:textId="77777777" w:rsidR="00553021" w:rsidRDefault="00553021" w:rsidP="00553021"/>
    <w:p w14:paraId="5B8DA28E" w14:textId="77777777" w:rsidR="00191835" w:rsidRDefault="00191835" w:rsidP="00191835">
      <w:pPr>
        <w:rPr>
          <w:sz w:val="28"/>
        </w:rPr>
      </w:pPr>
    </w:p>
    <w:p w14:paraId="63A1FE6C" w14:textId="77777777" w:rsidR="00191835" w:rsidRDefault="00191835" w:rsidP="00191835">
      <w:pPr>
        <w:rPr>
          <w:sz w:val="28"/>
        </w:rPr>
      </w:pPr>
    </w:p>
    <w:p w14:paraId="7B5239BF" w14:textId="1DC64D3B" w:rsidR="00C459FB" w:rsidRPr="00191835" w:rsidRDefault="00C459FB" w:rsidP="00191835">
      <w:pPr>
        <w:rPr>
          <w:b/>
          <w:sz w:val="28"/>
        </w:rPr>
      </w:pPr>
      <w:r w:rsidRPr="00191835">
        <w:rPr>
          <w:b/>
          <w:sz w:val="28"/>
        </w:rPr>
        <w:lastRenderedPageBreak/>
        <w:t>Schedule of Assignments:</w:t>
      </w:r>
    </w:p>
    <w:p w14:paraId="1C7E4395" w14:textId="77777777" w:rsidR="00C459FB" w:rsidRDefault="00C459FB" w:rsidP="00C459FB"/>
    <w:p w14:paraId="0098812E" w14:textId="77777777" w:rsidR="00500F42" w:rsidRPr="00FD6396" w:rsidRDefault="00500F42" w:rsidP="00C459FB"/>
    <w:p w14:paraId="0C86A4ED" w14:textId="77777777" w:rsidR="000F601D" w:rsidRDefault="00C459FB" w:rsidP="00C459FB">
      <w:pPr>
        <w:ind w:left="720" w:hanging="720"/>
      </w:pPr>
      <w:r>
        <w:t xml:space="preserve">26 January: </w:t>
      </w:r>
      <w:r>
        <w:tab/>
        <w:t>Introduction:</w:t>
      </w:r>
      <w:r w:rsidR="000E0E62">
        <w:t xml:space="preserve"> </w:t>
      </w:r>
      <w:r w:rsidR="00D0633E">
        <w:t xml:space="preserve">American Studies, US </w:t>
      </w:r>
      <w:r w:rsidR="009F0FAD">
        <w:t>S</w:t>
      </w:r>
      <w:r w:rsidR="00D0633E">
        <w:t xml:space="preserve">tudies, and </w:t>
      </w:r>
    </w:p>
    <w:p w14:paraId="40B18D41" w14:textId="2471C4AF" w:rsidR="00C459FB" w:rsidRDefault="000E0E62" w:rsidP="000F601D">
      <w:pPr>
        <w:ind w:left="720" w:firstLine="720"/>
      </w:pPr>
      <w:r>
        <w:t>Conceptualizing the Fifties</w:t>
      </w:r>
      <w:r w:rsidR="00C459FB">
        <w:t xml:space="preserve"> </w:t>
      </w:r>
    </w:p>
    <w:p w14:paraId="5DFB5400" w14:textId="77777777" w:rsidR="005E6334" w:rsidRDefault="005E6334" w:rsidP="00C459FB">
      <w:pPr>
        <w:ind w:left="720" w:hanging="720"/>
      </w:pPr>
    </w:p>
    <w:p w14:paraId="0DD27D89" w14:textId="124514C9" w:rsidR="005E6334" w:rsidRPr="005E6334" w:rsidRDefault="005E6334" w:rsidP="00C459FB">
      <w:pPr>
        <w:ind w:left="720" w:hanging="720"/>
        <w:rPr>
          <w:b/>
          <w:i/>
        </w:rPr>
      </w:pPr>
      <w:r>
        <w:tab/>
      </w:r>
      <w:r>
        <w:tab/>
      </w:r>
      <w:r w:rsidR="000F601D">
        <w:rPr>
          <w:b/>
          <w:i/>
        </w:rPr>
        <w:t>Cold War Fears</w:t>
      </w:r>
    </w:p>
    <w:p w14:paraId="79C69978" w14:textId="77777777" w:rsidR="000F601D" w:rsidRDefault="000F601D" w:rsidP="00C459FB"/>
    <w:p w14:paraId="6EFC9199" w14:textId="46E1DEA8" w:rsidR="000F601D" w:rsidRDefault="000F601D" w:rsidP="000F601D">
      <w:r>
        <w:t>29 January:</w:t>
      </w:r>
      <w:r>
        <w:tab/>
      </w:r>
      <w:r w:rsidR="007E5EEF">
        <w:t xml:space="preserve">The </w:t>
      </w:r>
      <w:r>
        <w:t>Cold War and the Bomb</w:t>
      </w:r>
    </w:p>
    <w:p w14:paraId="6A6A9610" w14:textId="77777777" w:rsidR="000F601D" w:rsidRDefault="000F601D" w:rsidP="000F601D">
      <w:pPr>
        <w:ind w:left="720" w:firstLine="720"/>
      </w:pPr>
      <w:r>
        <w:t xml:space="preserve">View film: </w:t>
      </w:r>
      <w:r w:rsidRPr="005E4AB7">
        <w:rPr>
          <w:i/>
        </w:rPr>
        <w:t>The Atomic Café</w:t>
      </w:r>
    </w:p>
    <w:p w14:paraId="160BCAD7" w14:textId="77777777" w:rsidR="000F601D" w:rsidRDefault="000F601D" w:rsidP="000F601D">
      <w:pPr>
        <w:ind w:left="720" w:firstLine="720"/>
      </w:pPr>
      <w:proofErr w:type="spellStart"/>
      <w:proofErr w:type="gramStart"/>
      <w:r>
        <w:t>Halberstam</w:t>
      </w:r>
      <w:proofErr w:type="spellEnd"/>
      <w:r>
        <w:t xml:space="preserve">, </w:t>
      </w:r>
      <w:proofErr w:type="spellStart"/>
      <w:r>
        <w:t>chs</w:t>
      </w:r>
      <w:proofErr w:type="spellEnd"/>
      <w:r>
        <w:t>.</w:t>
      </w:r>
      <w:proofErr w:type="gramEnd"/>
      <w:r>
        <w:t xml:space="preserve"> 2, 6</w:t>
      </w:r>
    </w:p>
    <w:p w14:paraId="5D716A94" w14:textId="77777777" w:rsidR="000F601D" w:rsidRDefault="000F601D" w:rsidP="000F601D">
      <w:pPr>
        <w:ind w:left="720" w:firstLine="720"/>
      </w:pPr>
    </w:p>
    <w:p w14:paraId="2340E11F" w14:textId="77777777" w:rsidR="00166D9A" w:rsidRDefault="000F601D" w:rsidP="00166D9A">
      <w:pPr>
        <w:ind w:right="-216"/>
      </w:pPr>
      <w:r>
        <w:t xml:space="preserve">2 February: </w:t>
      </w:r>
      <w:r>
        <w:tab/>
      </w:r>
      <w:r w:rsidR="00166D9A">
        <w:t xml:space="preserve">Korea </w:t>
      </w:r>
    </w:p>
    <w:p w14:paraId="0B092BE2" w14:textId="77777777" w:rsidR="00166D9A" w:rsidRDefault="00166D9A" w:rsidP="00166D9A">
      <w:pPr>
        <w:ind w:right="-216"/>
      </w:pPr>
      <w:r>
        <w:tab/>
      </w:r>
      <w:r>
        <w:tab/>
      </w:r>
      <w:proofErr w:type="spellStart"/>
      <w:r>
        <w:t>Halberstam</w:t>
      </w:r>
      <w:proofErr w:type="spellEnd"/>
      <w:r>
        <w:t xml:space="preserve">, </w:t>
      </w:r>
      <w:proofErr w:type="spellStart"/>
      <w:r>
        <w:t>ch.</w:t>
      </w:r>
      <w:proofErr w:type="spellEnd"/>
      <w:r>
        <w:t xml:space="preserve"> 4-5, 7</w:t>
      </w:r>
    </w:p>
    <w:p w14:paraId="182C65FC" w14:textId="77777777" w:rsidR="000F601D" w:rsidRDefault="000F601D" w:rsidP="000F601D"/>
    <w:p w14:paraId="7DFA7A85" w14:textId="77777777" w:rsidR="00166D9A" w:rsidRDefault="000F601D" w:rsidP="00166D9A">
      <w:r>
        <w:t>5 February:</w:t>
      </w:r>
      <w:r w:rsidR="00166D9A">
        <w:tab/>
        <w:t xml:space="preserve">Joseph McCarthy and the House </w:t>
      </w:r>
      <w:proofErr w:type="spellStart"/>
      <w:r w:rsidR="00166D9A">
        <w:t>UnAmerican</w:t>
      </w:r>
      <w:proofErr w:type="spellEnd"/>
      <w:r w:rsidR="00166D9A">
        <w:t xml:space="preserve"> Activities Committee</w:t>
      </w:r>
    </w:p>
    <w:p w14:paraId="6CA2EA47" w14:textId="77777777" w:rsidR="00713001" w:rsidRDefault="00166D9A" w:rsidP="00166D9A">
      <w:r>
        <w:tab/>
      </w:r>
      <w:r>
        <w:tab/>
      </w:r>
      <w:proofErr w:type="spellStart"/>
      <w:r w:rsidR="00713001">
        <w:t>Halberstam</w:t>
      </w:r>
      <w:proofErr w:type="spellEnd"/>
      <w:r w:rsidR="00713001">
        <w:t xml:space="preserve">, </w:t>
      </w:r>
      <w:proofErr w:type="spellStart"/>
      <w:r w:rsidR="00713001">
        <w:t>ch.</w:t>
      </w:r>
      <w:proofErr w:type="spellEnd"/>
      <w:r w:rsidR="00713001">
        <w:t xml:space="preserve"> 3</w:t>
      </w:r>
    </w:p>
    <w:p w14:paraId="0D3B2E51" w14:textId="41029270" w:rsidR="00166D9A" w:rsidRDefault="00166D9A" w:rsidP="00713001">
      <w:pPr>
        <w:ind w:left="720" w:firstLine="720"/>
      </w:pPr>
      <w:r>
        <w:t>Rand, “Screen Guide for Americans” (Canvas)</w:t>
      </w:r>
    </w:p>
    <w:p w14:paraId="326C7F6A" w14:textId="77777777" w:rsidR="00166D9A" w:rsidRDefault="00166D9A" w:rsidP="00166D9A">
      <w:r>
        <w:tab/>
      </w:r>
      <w:r>
        <w:tab/>
        <w:t>English, “What Makes a Hollywood Communist?” (Canvas)</w:t>
      </w:r>
    </w:p>
    <w:p w14:paraId="0760E2DF" w14:textId="77777777" w:rsidR="00166D9A" w:rsidRDefault="00166D9A" w:rsidP="00166D9A">
      <w:pPr>
        <w:ind w:left="720" w:firstLine="720"/>
      </w:pPr>
      <w:r>
        <w:t>Bogart, “I’m No Communist” (Canvas)</w:t>
      </w:r>
    </w:p>
    <w:p w14:paraId="27F7224B" w14:textId="3898BD07" w:rsidR="00C13A38" w:rsidRDefault="00C13A38" w:rsidP="00166D9A">
      <w:pPr>
        <w:ind w:left="720" w:firstLine="720"/>
      </w:pPr>
      <w:r>
        <w:t>Ginsberg, “America” (Canvas)</w:t>
      </w:r>
    </w:p>
    <w:p w14:paraId="16F8D33E" w14:textId="1AB8BB37" w:rsidR="00C805CC" w:rsidRDefault="00166D9A" w:rsidP="00713001">
      <w:r>
        <w:tab/>
      </w:r>
      <w:r>
        <w:tab/>
      </w:r>
    </w:p>
    <w:p w14:paraId="3E2CA777" w14:textId="2DACA0B6" w:rsidR="00C805CC" w:rsidRDefault="000F601D" w:rsidP="00C459FB">
      <w:pPr>
        <w:ind w:left="1440" w:hanging="1440"/>
      </w:pPr>
      <w:r>
        <w:t>9 February</w:t>
      </w:r>
      <w:r w:rsidR="00C459FB">
        <w:t xml:space="preserve">:  </w:t>
      </w:r>
      <w:r w:rsidR="00C459FB">
        <w:tab/>
      </w:r>
      <w:r w:rsidR="00E173AF">
        <w:t xml:space="preserve">Naming Names: </w:t>
      </w:r>
      <w:proofErr w:type="spellStart"/>
      <w:r w:rsidR="0095320A">
        <w:t>Elia</w:t>
      </w:r>
      <w:proofErr w:type="spellEnd"/>
      <w:r w:rsidR="0095320A">
        <w:t xml:space="preserve"> Kazan</w:t>
      </w:r>
      <w:r w:rsidR="007E13FC">
        <w:t>, Arthur Miller, Marilyn Monroe</w:t>
      </w:r>
    </w:p>
    <w:p w14:paraId="4C4A8B44" w14:textId="77777777" w:rsidR="006456C5" w:rsidRDefault="006456C5" w:rsidP="004E717C">
      <w:pPr>
        <w:ind w:left="1440" w:hanging="1440"/>
      </w:pPr>
      <w:r>
        <w:tab/>
      </w:r>
      <w:proofErr w:type="spellStart"/>
      <w:r>
        <w:t>Halberstam</w:t>
      </w:r>
      <w:proofErr w:type="spellEnd"/>
      <w:r>
        <w:t xml:space="preserve">, </w:t>
      </w:r>
      <w:proofErr w:type="spellStart"/>
      <w:r>
        <w:t>ch.</w:t>
      </w:r>
      <w:proofErr w:type="spellEnd"/>
      <w:r>
        <w:t xml:space="preserve"> 31</w:t>
      </w:r>
    </w:p>
    <w:p w14:paraId="50616C5D" w14:textId="77777777" w:rsidR="006456C5" w:rsidRDefault="008A394A" w:rsidP="006456C5">
      <w:pPr>
        <w:ind w:left="1440"/>
      </w:pPr>
      <w:proofErr w:type="spellStart"/>
      <w:r>
        <w:t>Navasky</w:t>
      </w:r>
      <w:proofErr w:type="spellEnd"/>
      <w:r>
        <w:t>, “</w:t>
      </w:r>
      <w:proofErr w:type="spellStart"/>
      <w:r>
        <w:t>Elia</w:t>
      </w:r>
      <w:proofErr w:type="spellEnd"/>
      <w:r>
        <w:t xml:space="preserve"> Kazan and the Case for Silence” (Canvas)</w:t>
      </w:r>
    </w:p>
    <w:p w14:paraId="58CDD525" w14:textId="77777777" w:rsidR="006456C5" w:rsidRDefault="006456C5" w:rsidP="006456C5">
      <w:pPr>
        <w:ind w:left="1440"/>
        <w:rPr>
          <w:i/>
        </w:rPr>
      </w:pPr>
      <w:r>
        <w:t>V</w:t>
      </w:r>
      <w:r w:rsidR="004E717C">
        <w:t>iew</w:t>
      </w:r>
      <w:r w:rsidR="0095320A">
        <w:t xml:space="preserve"> </w:t>
      </w:r>
      <w:r w:rsidR="00342916">
        <w:t xml:space="preserve">Kazan, </w:t>
      </w:r>
      <w:r w:rsidR="0095320A" w:rsidRPr="0095320A">
        <w:rPr>
          <w:i/>
        </w:rPr>
        <w:t>On the Waterfront</w:t>
      </w:r>
    </w:p>
    <w:p w14:paraId="62CC9C4E" w14:textId="08B45B1F" w:rsidR="00C805CC" w:rsidRPr="001167E7" w:rsidRDefault="006456C5" w:rsidP="006456C5">
      <w:pPr>
        <w:ind w:left="1440"/>
        <w:rPr>
          <w:i/>
        </w:rPr>
      </w:pPr>
      <w:r>
        <w:t>Option</w:t>
      </w:r>
      <w:r w:rsidR="00342916">
        <w:t xml:space="preserve">: see also </w:t>
      </w:r>
      <w:proofErr w:type="spellStart"/>
      <w:r w:rsidR="00342916">
        <w:t>Zinneman</w:t>
      </w:r>
      <w:proofErr w:type="spellEnd"/>
      <w:r w:rsidR="00342916">
        <w:t xml:space="preserve">, </w:t>
      </w:r>
      <w:r w:rsidR="00342916">
        <w:rPr>
          <w:i/>
        </w:rPr>
        <w:t xml:space="preserve">High Noon </w:t>
      </w:r>
      <w:r w:rsidR="001167E7">
        <w:t xml:space="preserve">and Hawks, </w:t>
      </w:r>
      <w:r w:rsidR="001167E7">
        <w:rPr>
          <w:i/>
        </w:rPr>
        <w:t>Rio Bravo</w:t>
      </w:r>
    </w:p>
    <w:p w14:paraId="2260268F" w14:textId="77777777" w:rsidR="00342916" w:rsidRPr="00342916" w:rsidRDefault="00342916" w:rsidP="00C459FB">
      <w:pPr>
        <w:ind w:left="1440" w:hanging="1440"/>
      </w:pPr>
    </w:p>
    <w:p w14:paraId="5E9551AC" w14:textId="085FEF27" w:rsidR="00C805CC" w:rsidRPr="00C805CC" w:rsidRDefault="00C805CC" w:rsidP="00C805CC">
      <w:pPr>
        <w:ind w:left="720" w:right="-216" w:firstLine="720"/>
        <w:rPr>
          <w:b/>
          <w:i/>
        </w:rPr>
      </w:pPr>
      <w:r>
        <w:rPr>
          <w:b/>
          <w:i/>
        </w:rPr>
        <w:t xml:space="preserve">The Politics of </w:t>
      </w:r>
      <w:r w:rsidR="00A355BD">
        <w:rPr>
          <w:b/>
          <w:i/>
        </w:rPr>
        <w:t xml:space="preserve">Economic </w:t>
      </w:r>
      <w:r w:rsidR="004E717C">
        <w:rPr>
          <w:b/>
          <w:i/>
        </w:rPr>
        <w:t>Boom</w:t>
      </w:r>
    </w:p>
    <w:p w14:paraId="633BC536" w14:textId="77777777" w:rsidR="00C805CC" w:rsidRDefault="00C805CC" w:rsidP="00C459FB">
      <w:pPr>
        <w:ind w:left="1440" w:hanging="1440"/>
      </w:pPr>
    </w:p>
    <w:p w14:paraId="5D689611" w14:textId="77777777" w:rsidR="006456C5" w:rsidRDefault="00C805CC" w:rsidP="00C805CC">
      <w:r>
        <w:t>12 February:</w:t>
      </w:r>
      <w:r>
        <w:tab/>
      </w:r>
      <w:r w:rsidR="006456C5">
        <w:t>The Age of Eisenhower</w:t>
      </w:r>
    </w:p>
    <w:p w14:paraId="3FDE5867" w14:textId="1051F0C1" w:rsidR="00E83526" w:rsidRDefault="00E83526" w:rsidP="006456C5">
      <w:pPr>
        <w:ind w:left="720" w:firstLine="720"/>
      </w:pPr>
      <w:proofErr w:type="spellStart"/>
      <w:proofErr w:type="gramStart"/>
      <w:r>
        <w:t>Hal</w:t>
      </w:r>
      <w:r w:rsidR="004F6A31">
        <w:t>berstam</w:t>
      </w:r>
      <w:proofErr w:type="spellEnd"/>
      <w:r w:rsidR="004F6A31">
        <w:t xml:space="preserve">, </w:t>
      </w:r>
      <w:proofErr w:type="spellStart"/>
      <w:r w:rsidR="004F6A31">
        <w:t>chs</w:t>
      </w:r>
      <w:proofErr w:type="spellEnd"/>
      <w:r w:rsidR="004F6A31">
        <w:t>.</w:t>
      </w:r>
      <w:proofErr w:type="gramEnd"/>
      <w:r w:rsidR="004F6A31">
        <w:t xml:space="preserve"> 13-14, 16-18, 23</w:t>
      </w:r>
    </w:p>
    <w:p w14:paraId="0EF8AF93" w14:textId="52D97747" w:rsidR="00462969" w:rsidRPr="00462969" w:rsidRDefault="000E0E62" w:rsidP="00462969">
      <w:pPr>
        <w:ind w:left="1440"/>
      </w:pPr>
      <w:r>
        <w:t xml:space="preserve">View </w:t>
      </w:r>
      <w:r w:rsidR="00462969">
        <w:t xml:space="preserve">advertisements for 1952 and 1956 elections on The Living Room Candidate: </w:t>
      </w:r>
      <w:r w:rsidR="00462969" w:rsidRPr="00462969">
        <w:t>http://www.livingroomcandidate.org/</w:t>
      </w:r>
    </w:p>
    <w:p w14:paraId="2763D50A" w14:textId="77777777" w:rsidR="00C459FB" w:rsidRDefault="00C459FB" w:rsidP="00C459FB">
      <w:r>
        <w:tab/>
      </w:r>
      <w:r>
        <w:tab/>
      </w:r>
    </w:p>
    <w:p w14:paraId="71E31225" w14:textId="77777777" w:rsidR="006456C5" w:rsidRDefault="000F601D" w:rsidP="004F6A31">
      <w:pPr>
        <w:rPr>
          <w:szCs w:val="24"/>
        </w:rPr>
      </w:pPr>
      <w:r>
        <w:t>1</w:t>
      </w:r>
      <w:r w:rsidR="00C805CC">
        <w:t>6</w:t>
      </w:r>
      <w:r w:rsidR="00C459FB">
        <w:t xml:space="preserve"> February:</w:t>
      </w:r>
      <w:r w:rsidR="00C459FB">
        <w:tab/>
      </w:r>
      <w:r w:rsidR="006456C5">
        <w:rPr>
          <w:szCs w:val="24"/>
        </w:rPr>
        <w:t>The Power Elite</w:t>
      </w:r>
    </w:p>
    <w:p w14:paraId="2EF406C4" w14:textId="463F44CF" w:rsidR="006456C5" w:rsidRPr="005552F7" w:rsidRDefault="004F6A31" w:rsidP="006456C5">
      <w:pPr>
        <w:ind w:left="720" w:firstLine="720"/>
        <w:rPr>
          <w:szCs w:val="24"/>
        </w:rPr>
      </w:pPr>
      <w:r w:rsidRPr="00127FB8">
        <w:rPr>
          <w:szCs w:val="24"/>
        </w:rPr>
        <w:t xml:space="preserve">C. Wright Mills, </w:t>
      </w:r>
      <w:r w:rsidR="006456C5">
        <w:rPr>
          <w:szCs w:val="24"/>
        </w:rPr>
        <w:t xml:space="preserve">selection from </w:t>
      </w:r>
      <w:r w:rsidR="0039065A" w:rsidRPr="006456C5">
        <w:rPr>
          <w:i/>
          <w:szCs w:val="24"/>
        </w:rPr>
        <w:t>The Power Elite</w:t>
      </w:r>
      <w:r w:rsidR="005552F7">
        <w:rPr>
          <w:i/>
          <w:szCs w:val="24"/>
        </w:rPr>
        <w:t xml:space="preserve"> </w:t>
      </w:r>
      <w:r w:rsidR="005552F7">
        <w:rPr>
          <w:szCs w:val="24"/>
        </w:rPr>
        <w:t>(Canvas)</w:t>
      </w:r>
    </w:p>
    <w:p w14:paraId="4835AB8D" w14:textId="17A2252B" w:rsidR="004F6A31" w:rsidRPr="005552F7" w:rsidRDefault="006456C5" w:rsidP="006456C5">
      <w:pPr>
        <w:ind w:left="720" w:firstLine="720"/>
        <w:rPr>
          <w:szCs w:val="24"/>
        </w:rPr>
      </w:pPr>
      <w:r>
        <w:rPr>
          <w:szCs w:val="24"/>
        </w:rPr>
        <w:t xml:space="preserve">David </w:t>
      </w:r>
      <w:r w:rsidR="004F6A31" w:rsidRPr="00127FB8">
        <w:rPr>
          <w:szCs w:val="24"/>
        </w:rPr>
        <w:t>Riesman</w:t>
      </w:r>
      <w:r w:rsidR="004F6A31">
        <w:rPr>
          <w:szCs w:val="24"/>
        </w:rPr>
        <w:t xml:space="preserve">, </w:t>
      </w:r>
      <w:r>
        <w:rPr>
          <w:szCs w:val="24"/>
        </w:rPr>
        <w:t xml:space="preserve">selection from </w:t>
      </w:r>
      <w:r w:rsidR="0039065A">
        <w:rPr>
          <w:i/>
          <w:szCs w:val="24"/>
        </w:rPr>
        <w:t xml:space="preserve">The </w:t>
      </w:r>
      <w:r w:rsidR="004F6A31" w:rsidRPr="00B35E4F">
        <w:rPr>
          <w:i/>
          <w:szCs w:val="24"/>
        </w:rPr>
        <w:t>Lonely Crowd</w:t>
      </w:r>
      <w:r w:rsidR="005552F7">
        <w:rPr>
          <w:i/>
          <w:szCs w:val="24"/>
        </w:rPr>
        <w:t xml:space="preserve"> </w:t>
      </w:r>
      <w:r w:rsidR="005552F7">
        <w:rPr>
          <w:szCs w:val="24"/>
        </w:rPr>
        <w:t>(Canvas)</w:t>
      </w:r>
    </w:p>
    <w:p w14:paraId="420779C4" w14:textId="25DE380B" w:rsidR="000E0E62" w:rsidRPr="00127FB8" w:rsidRDefault="004E717C" w:rsidP="00127FB8">
      <w:pPr>
        <w:rPr>
          <w:szCs w:val="24"/>
        </w:rPr>
      </w:pPr>
      <w:r>
        <w:rPr>
          <w:i/>
          <w:szCs w:val="24"/>
        </w:rPr>
        <w:tab/>
      </w:r>
      <w:r>
        <w:rPr>
          <w:i/>
          <w:szCs w:val="24"/>
        </w:rPr>
        <w:tab/>
      </w:r>
    </w:p>
    <w:p w14:paraId="19C94CD2" w14:textId="77777777" w:rsidR="002D3530" w:rsidRDefault="00C805CC" w:rsidP="004F6A31">
      <w:r>
        <w:t>19</w:t>
      </w:r>
      <w:r w:rsidR="004D7828">
        <w:t xml:space="preserve"> February:</w:t>
      </w:r>
      <w:r w:rsidR="004D7828">
        <w:tab/>
      </w:r>
      <w:r w:rsidR="002D3530">
        <w:t>Consumers and t</w:t>
      </w:r>
      <w:r w:rsidR="004F6A31">
        <w:t>he</w:t>
      </w:r>
      <w:r w:rsidR="002D3530">
        <w:t xml:space="preserve"> Postwar Economy</w:t>
      </w:r>
    </w:p>
    <w:p w14:paraId="71B42B6A" w14:textId="19A6A11F" w:rsidR="002D3530" w:rsidRDefault="004F6A31" w:rsidP="002D3530">
      <w:pPr>
        <w:ind w:left="720" w:firstLine="720"/>
        <w:rPr>
          <w:szCs w:val="24"/>
        </w:rPr>
      </w:pPr>
      <w:r w:rsidRPr="00127FB8">
        <w:rPr>
          <w:szCs w:val="24"/>
        </w:rPr>
        <w:t xml:space="preserve">Cohen, </w:t>
      </w:r>
      <w:r>
        <w:rPr>
          <w:szCs w:val="24"/>
        </w:rPr>
        <w:t>“Recon</w:t>
      </w:r>
      <w:r w:rsidR="002D3530">
        <w:rPr>
          <w:szCs w:val="24"/>
        </w:rPr>
        <w:t>version: The Emergence of the Consumers’ Republic,” 112-</w:t>
      </w:r>
      <w:r w:rsidR="002D3530">
        <w:rPr>
          <w:szCs w:val="24"/>
        </w:rPr>
        <w:tab/>
      </w:r>
      <w:r>
        <w:rPr>
          <w:szCs w:val="24"/>
        </w:rPr>
        <w:t xml:space="preserve">65; </w:t>
      </w:r>
      <w:r>
        <w:t>“Cultur</w:t>
      </w:r>
      <w:r w:rsidR="002D3530">
        <w:t>e: Segmenting the Mass,” 292-344 (Canvas)</w:t>
      </w:r>
      <w:r>
        <w:rPr>
          <w:szCs w:val="24"/>
        </w:rPr>
        <w:tab/>
      </w:r>
      <w:r>
        <w:rPr>
          <w:szCs w:val="24"/>
        </w:rPr>
        <w:tab/>
      </w:r>
    </w:p>
    <w:p w14:paraId="18016140" w14:textId="771CEC1B" w:rsidR="00C459FB" w:rsidRPr="002D3530" w:rsidRDefault="000E0E62" w:rsidP="002D3530">
      <w:pPr>
        <w:ind w:left="720" w:firstLine="720"/>
      </w:pPr>
      <w:r>
        <w:t>Bird</w:t>
      </w:r>
      <w:r w:rsidR="00AF76CD">
        <w:t>, “Showmanship Triumphant</w:t>
      </w:r>
      <w:r w:rsidR="0024321F">
        <w:t>,</w:t>
      </w:r>
      <w:r w:rsidR="00AF76CD">
        <w:t xml:space="preserve">” </w:t>
      </w:r>
      <w:r w:rsidR="00C31989">
        <w:t xml:space="preserve">182- 205 </w:t>
      </w:r>
      <w:r w:rsidR="00AF76CD">
        <w:t>(Canvas)</w:t>
      </w:r>
      <w:r>
        <w:t xml:space="preserve"> </w:t>
      </w:r>
    </w:p>
    <w:p w14:paraId="4278998B" w14:textId="06BEAB75" w:rsidR="005552F7" w:rsidRDefault="004D7828" w:rsidP="0024321F">
      <w:pPr>
        <w:ind w:left="1440" w:hanging="1440"/>
      </w:pPr>
      <w:r>
        <w:tab/>
      </w:r>
      <w:r w:rsidR="00F30D50">
        <w:t xml:space="preserve"> </w:t>
      </w:r>
      <w:r w:rsidR="00C459FB">
        <w:tab/>
      </w:r>
    </w:p>
    <w:p w14:paraId="4B6E22E0" w14:textId="77777777" w:rsidR="002D3530" w:rsidRDefault="00C805CC" w:rsidP="000E0E62">
      <w:r>
        <w:t>23</w:t>
      </w:r>
      <w:r w:rsidR="009F5780">
        <w:t xml:space="preserve"> </w:t>
      </w:r>
      <w:r w:rsidR="00C459FB">
        <w:t>February:</w:t>
      </w:r>
      <w:r w:rsidR="00C459FB">
        <w:tab/>
      </w:r>
      <w:r w:rsidR="004F6A31">
        <w:t>Mad Men</w:t>
      </w:r>
    </w:p>
    <w:p w14:paraId="31A82057" w14:textId="77777777" w:rsidR="00B3550E" w:rsidRDefault="00B3550E" w:rsidP="002D3530">
      <w:pPr>
        <w:ind w:left="720" w:firstLine="720"/>
      </w:pPr>
      <w:proofErr w:type="spellStart"/>
      <w:r>
        <w:t>Halberstam</w:t>
      </w:r>
      <w:proofErr w:type="spellEnd"/>
      <w:r>
        <w:t xml:space="preserve">, </w:t>
      </w:r>
      <w:proofErr w:type="spellStart"/>
      <w:r>
        <w:t>ch.</w:t>
      </w:r>
      <w:proofErr w:type="spellEnd"/>
      <w:r>
        <w:t xml:space="preserve"> 33</w:t>
      </w:r>
    </w:p>
    <w:p w14:paraId="6D4918F3" w14:textId="19ED6733" w:rsidR="004F6A31" w:rsidRDefault="004F6A31" w:rsidP="002D3530">
      <w:pPr>
        <w:ind w:left="720" w:firstLine="720"/>
      </w:pPr>
      <w:r>
        <w:lastRenderedPageBreak/>
        <w:t xml:space="preserve">Packard, </w:t>
      </w:r>
      <w:r w:rsidR="002D3530">
        <w:t xml:space="preserve">selection from </w:t>
      </w:r>
      <w:r>
        <w:rPr>
          <w:i/>
        </w:rPr>
        <w:t xml:space="preserve">The Hidden Persuaders </w:t>
      </w:r>
      <w:r>
        <w:t>(Canvas)</w:t>
      </w:r>
    </w:p>
    <w:p w14:paraId="1BB81712" w14:textId="661869F3" w:rsidR="000E0E62" w:rsidRDefault="000E0E62" w:rsidP="004F6A31">
      <w:pPr>
        <w:ind w:left="720" w:firstLine="720"/>
        <w:rPr>
          <w:b/>
        </w:rPr>
      </w:pPr>
      <w:r>
        <w:t>Review of Advertising</w:t>
      </w:r>
      <w:r w:rsidR="004F6A31">
        <w:t xml:space="preserve"> Videos</w:t>
      </w:r>
      <w:r w:rsidR="004D7828">
        <w:t xml:space="preserve"> </w:t>
      </w:r>
      <w:r w:rsidR="004F6A31">
        <w:t>(</w:t>
      </w:r>
      <w:r w:rsidR="004D7828">
        <w:t>Canvas)</w:t>
      </w:r>
    </w:p>
    <w:p w14:paraId="37D54E33" w14:textId="22B5F1E7" w:rsidR="000E0E62" w:rsidRPr="00CB6E3B" w:rsidRDefault="000E0E62" w:rsidP="00C459FB">
      <w:pPr>
        <w:rPr>
          <w:b/>
          <w:i/>
        </w:rPr>
      </w:pPr>
    </w:p>
    <w:p w14:paraId="0ACB3316" w14:textId="10C1ECA2" w:rsidR="00361A8C" w:rsidRDefault="000F601D" w:rsidP="00C805CC">
      <w:pPr>
        <w:pStyle w:val="Header"/>
        <w:tabs>
          <w:tab w:val="clear" w:pos="4320"/>
          <w:tab w:val="clear" w:pos="8640"/>
        </w:tabs>
      </w:pPr>
      <w:r>
        <w:t>2</w:t>
      </w:r>
      <w:r w:rsidR="00C459FB">
        <w:t>6 February:</w:t>
      </w:r>
      <w:r w:rsidR="00C459FB">
        <w:tab/>
      </w:r>
      <w:r w:rsidR="00C805CC">
        <w:t>A</w:t>
      </w:r>
      <w:r w:rsidR="0039065A">
        <w:t>rtifact</w:t>
      </w:r>
      <w:r w:rsidR="00C805CC">
        <w:t xml:space="preserve"> Day</w:t>
      </w:r>
      <w:r w:rsidR="0039065A">
        <w:t xml:space="preserve"> #1</w:t>
      </w:r>
    </w:p>
    <w:p w14:paraId="773771CB" w14:textId="3A15C062" w:rsidR="0039065A" w:rsidRDefault="00C805CC" w:rsidP="00C805CC">
      <w:pPr>
        <w:pStyle w:val="Header"/>
        <w:tabs>
          <w:tab w:val="clear" w:pos="4320"/>
          <w:tab w:val="clear" w:pos="8640"/>
        </w:tabs>
      </w:pPr>
      <w:r>
        <w:tab/>
      </w:r>
    </w:p>
    <w:p w14:paraId="6552EC44" w14:textId="25156CBD" w:rsidR="00C805CC" w:rsidRDefault="00C805CC" w:rsidP="0039065A">
      <w:pPr>
        <w:pStyle w:val="Header"/>
        <w:tabs>
          <w:tab w:val="clear" w:pos="4320"/>
          <w:tab w:val="clear" w:pos="8640"/>
        </w:tabs>
        <w:ind w:left="720" w:firstLine="720"/>
        <w:rPr>
          <w:i/>
        </w:rPr>
      </w:pPr>
      <w:r w:rsidRPr="00CB6E3B">
        <w:rPr>
          <w:b/>
          <w:i/>
        </w:rPr>
        <w:t>The Family in the Suburb</w:t>
      </w:r>
      <w:r>
        <w:rPr>
          <w:b/>
          <w:i/>
        </w:rPr>
        <w:t>s</w:t>
      </w:r>
    </w:p>
    <w:p w14:paraId="41A29AFF" w14:textId="77777777" w:rsidR="00C459FB" w:rsidRPr="00F56981" w:rsidRDefault="00C459FB" w:rsidP="00C459FB">
      <w:pPr>
        <w:pStyle w:val="Header"/>
        <w:tabs>
          <w:tab w:val="clear" w:pos="4320"/>
          <w:tab w:val="clear" w:pos="8640"/>
        </w:tabs>
      </w:pPr>
      <w:r>
        <w:rPr>
          <w:i/>
        </w:rPr>
        <w:tab/>
      </w:r>
      <w:r>
        <w:rPr>
          <w:i/>
        </w:rPr>
        <w:tab/>
      </w:r>
    </w:p>
    <w:p w14:paraId="4E2EDD36" w14:textId="77777777" w:rsidR="00C805CC" w:rsidRDefault="000F601D" w:rsidP="00C805CC">
      <w:pPr>
        <w:pStyle w:val="Header"/>
        <w:tabs>
          <w:tab w:val="clear" w:pos="4320"/>
          <w:tab w:val="clear" w:pos="8640"/>
        </w:tabs>
      </w:pPr>
      <w:r>
        <w:t>2 March</w:t>
      </w:r>
      <w:r w:rsidR="00C459FB">
        <w:t xml:space="preserve">: </w:t>
      </w:r>
      <w:r w:rsidR="00C459FB">
        <w:tab/>
      </w:r>
      <w:proofErr w:type="spellStart"/>
      <w:r w:rsidR="00C805CC">
        <w:t>Coontz</w:t>
      </w:r>
      <w:proofErr w:type="spellEnd"/>
      <w:r w:rsidR="00C805CC">
        <w:t xml:space="preserve">, </w:t>
      </w:r>
      <w:r w:rsidR="00C805CC" w:rsidRPr="005E6334">
        <w:rPr>
          <w:i/>
        </w:rPr>
        <w:t>The Way We Never Were</w:t>
      </w:r>
      <w:r w:rsidR="00C805CC">
        <w:t>, 23-41(Canvas)</w:t>
      </w:r>
    </w:p>
    <w:p w14:paraId="76E9470B" w14:textId="77777777" w:rsidR="00C805CC" w:rsidRDefault="00C805CC" w:rsidP="00C805CC">
      <w:pPr>
        <w:pStyle w:val="Header"/>
        <w:tabs>
          <w:tab w:val="clear" w:pos="4320"/>
          <w:tab w:val="clear" w:pos="8640"/>
        </w:tabs>
      </w:pPr>
      <w:r>
        <w:tab/>
      </w:r>
      <w:r>
        <w:tab/>
      </w:r>
      <w:proofErr w:type="spellStart"/>
      <w:r>
        <w:t>Halberstam</w:t>
      </w:r>
      <w:proofErr w:type="spellEnd"/>
      <w:r>
        <w:t xml:space="preserve">, </w:t>
      </w:r>
      <w:proofErr w:type="spellStart"/>
      <w:r>
        <w:t>ch.</w:t>
      </w:r>
      <w:proofErr w:type="spellEnd"/>
      <w:r>
        <w:t xml:space="preserve"> 9</w:t>
      </w:r>
    </w:p>
    <w:p w14:paraId="6E575672" w14:textId="77777777" w:rsidR="00C805CC" w:rsidRDefault="00C805CC" w:rsidP="00C805CC">
      <w:pPr>
        <w:pStyle w:val="Header"/>
        <w:tabs>
          <w:tab w:val="clear" w:pos="4320"/>
          <w:tab w:val="clear" w:pos="8640"/>
        </w:tabs>
      </w:pPr>
      <w:r>
        <w:tab/>
      </w:r>
      <w:r>
        <w:tab/>
        <w:t>Reagan GE commercials, “In the Kitchen” and “Lighting the Modern</w:t>
      </w:r>
      <w:r>
        <w:tab/>
      </w:r>
      <w:r>
        <w:tab/>
      </w:r>
      <w:r>
        <w:tab/>
        <w:t>Home” (Canvas)</w:t>
      </w:r>
    </w:p>
    <w:p w14:paraId="4E085E3C" w14:textId="261C0472" w:rsidR="00D43044" w:rsidRDefault="00D43044" w:rsidP="00C805CC">
      <w:pPr>
        <w:pStyle w:val="Header"/>
        <w:tabs>
          <w:tab w:val="clear" w:pos="4320"/>
          <w:tab w:val="clear" w:pos="8640"/>
        </w:tabs>
      </w:pPr>
      <w:r>
        <w:tab/>
      </w:r>
      <w:r>
        <w:tab/>
        <w:t xml:space="preserve">Nixon and </w:t>
      </w:r>
      <w:proofErr w:type="spellStart"/>
      <w:r>
        <w:t>Kruschev</w:t>
      </w:r>
      <w:proofErr w:type="spellEnd"/>
      <w:r>
        <w:t>, “The Kitchen Debate -- July 22, 1959” (Canvas)</w:t>
      </w:r>
    </w:p>
    <w:p w14:paraId="65FF7851" w14:textId="3C832DD2" w:rsidR="00EA4D15" w:rsidRDefault="00EA4D15" w:rsidP="00C805CC">
      <w:pPr>
        <w:pStyle w:val="Header"/>
        <w:tabs>
          <w:tab w:val="clear" w:pos="4320"/>
          <w:tab w:val="clear" w:pos="8640"/>
        </w:tabs>
        <w:rPr>
          <w:i/>
        </w:rPr>
      </w:pPr>
      <w:r>
        <w:tab/>
      </w:r>
      <w:r>
        <w:tab/>
        <w:t>Option: read also Marling, “”Nixon in Moscow: Appliances, Affluence, and</w:t>
      </w:r>
      <w:r>
        <w:tab/>
      </w:r>
      <w:r>
        <w:tab/>
        <w:t>Americanism” (Canvas)</w:t>
      </w:r>
    </w:p>
    <w:p w14:paraId="6728F78F" w14:textId="77777777" w:rsidR="00C459FB" w:rsidRDefault="00C459FB" w:rsidP="00C459FB">
      <w:pPr>
        <w:rPr>
          <w:b/>
        </w:rPr>
      </w:pPr>
    </w:p>
    <w:p w14:paraId="2D2B2C6F" w14:textId="49C8E8E4" w:rsidR="00CB6E3B" w:rsidRPr="00CE72D2" w:rsidRDefault="000F601D" w:rsidP="009F5780">
      <w:r>
        <w:t>5 March</w:t>
      </w:r>
      <w:r w:rsidR="00C459FB">
        <w:t xml:space="preserve">: </w:t>
      </w:r>
      <w:r w:rsidR="00C459FB">
        <w:tab/>
      </w:r>
      <w:r w:rsidR="00C805CC" w:rsidRPr="005E6334">
        <w:t xml:space="preserve">Wilson, </w:t>
      </w:r>
      <w:r w:rsidR="00C805CC" w:rsidRPr="005E6334">
        <w:rPr>
          <w:i/>
        </w:rPr>
        <w:t>The Man in the Gray Flannel Suit</w:t>
      </w:r>
      <w:r w:rsidR="00CE72D2">
        <w:t xml:space="preserve">, </w:t>
      </w:r>
      <w:proofErr w:type="spellStart"/>
      <w:r w:rsidR="00CE72D2">
        <w:t>chs</w:t>
      </w:r>
      <w:proofErr w:type="spellEnd"/>
      <w:r w:rsidR="00CE72D2">
        <w:t>. 1-20</w:t>
      </w:r>
    </w:p>
    <w:p w14:paraId="51A574F4" w14:textId="48BE0F4D" w:rsidR="004F6A31" w:rsidRPr="004F6A31" w:rsidRDefault="004F6A31" w:rsidP="009F5780">
      <w:r>
        <w:rPr>
          <w:i/>
        </w:rPr>
        <w:tab/>
      </w:r>
      <w:r>
        <w:rPr>
          <w:i/>
        </w:rPr>
        <w:tab/>
      </w:r>
      <w:r>
        <w:t xml:space="preserve">Whyte, </w:t>
      </w:r>
      <w:r w:rsidR="0039065A">
        <w:t xml:space="preserve">selection from </w:t>
      </w:r>
      <w:r w:rsidRPr="004F6A31">
        <w:rPr>
          <w:i/>
        </w:rPr>
        <w:t>The Organization M</w:t>
      </w:r>
      <w:r w:rsidRPr="003105C7">
        <w:rPr>
          <w:i/>
        </w:rPr>
        <w:t xml:space="preserve">an </w:t>
      </w:r>
      <w:r>
        <w:t>(Canvas)</w:t>
      </w:r>
    </w:p>
    <w:p w14:paraId="7029E43E" w14:textId="6ED50A5E" w:rsidR="00C459FB" w:rsidRPr="005F50D1" w:rsidRDefault="00C459FB" w:rsidP="00C459FB">
      <w:pPr>
        <w:rPr>
          <w:b/>
        </w:rPr>
      </w:pPr>
      <w:r>
        <w:tab/>
      </w:r>
      <w:r>
        <w:tab/>
      </w:r>
      <w:r>
        <w:tab/>
      </w:r>
    </w:p>
    <w:p w14:paraId="12260DCC" w14:textId="3B9B3C7C" w:rsidR="00C459FB" w:rsidRPr="00CE72D2" w:rsidRDefault="00C459FB" w:rsidP="009F5780">
      <w:pPr>
        <w:pStyle w:val="Header"/>
        <w:tabs>
          <w:tab w:val="clear" w:pos="4320"/>
          <w:tab w:val="clear" w:pos="8640"/>
        </w:tabs>
      </w:pPr>
      <w:r>
        <w:t>9 March</w:t>
      </w:r>
      <w:r w:rsidRPr="005F50D1">
        <w:t>:</w:t>
      </w:r>
      <w:r>
        <w:rPr>
          <w:b/>
        </w:rPr>
        <w:tab/>
      </w:r>
      <w:r w:rsidR="00C805CC" w:rsidRPr="005E6334">
        <w:t xml:space="preserve">Wilson, </w:t>
      </w:r>
      <w:r w:rsidR="00C805CC" w:rsidRPr="005E6334">
        <w:rPr>
          <w:i/>
        </w:rPr>
        <w:t>The Man in the Gray Flannel Suit</w:t>
      </w:r>
      <w:r w:rsidR="00CE72D2">
        <w:t xml:space="preserve">, </w:t>
      </w:r>
      <w:proofErr w:type="spellStart"/>
      <w:r w:rsidR="00CE72D2">
        <w:t>chs</w:t>
      </w:r>
      <w:proofErr w:type="spellEnd"/>
      <w:r w:rsidR="00CE72D2">
        <w:t>. 21-41</w:t>
      </w:r>
    </w:p>
    <w:p w14:paraId="58EBF48B" w14:textId="6B6CF072" w:rsidR="00C459FB" w:rsidRPr="00C805CC" w:rsidRDefault="00C459FB" w:rsidP="00C805CC">
      <w:pPr>
        <w:pStyle w:val="Header"/>
        <w:tabs>
          <w:tab w:val="clear" w:pos="4320"/>
          <w:tab w:val="clear" w:pos="8640"/>
        </w:tabs>
        <w:rPr>
          <w:b/>
          <w:i/>
        </w:rPr>
      </w:pPr>
      <w:r>
        <w:tab/>
        <w:t xml:space="preserve"> </w:t>
      </w:r>
    </w:p>
    <w:p w14:paraId="6F11637E" w14:textId="4BDA4CD2" w:rsidR="00C459FB" w:rsidRPr="000E0E62" w:rsidRDefault="00C459FB" w:rsidP="009F5780">
      <w:pPr>
        <w:pStyle w:val="Header"/>
        <w:tabs>
          <w:tab w:val="clear" w:pos="4320"/>
          <w:tab w:val="clear" w:pos="8640"/>
        </w:tabs>
      </w:pPr>
      <w:r>
        <w:t>12 March</w:t>
      </w:r>
      <w:r w:rsidRPr="004B7FA0">
        <w:t>:</w:t>
      </w:r>
      <w:r>
        <w:rPr>
          <w:b/>
        </w:rPr>
        <w:tab/>
      </w:r>
      <w:r w:rsidR="00C805CC">
        <w:t>Ar</w:t>
      </w:r>
      <w:r w:rsidR="0039065A">
        <w:t xml:space="preserve">tifact </w:t>
      </w:r>
      <w:r w:rsidR="00C805CC">
        <w:t>Day</w:t>
      </w:r>
      <w:r w:rsidR="0039065A">
        <w:t xml:space="preserve"> #2</w:t>
      </w:r>
    </w:p>
    <w:p w14:paraId="0922C14D" w14:textId="77777777" w:rsidR="00C459FB" w:rsidRDefault="00C459FB" w:rsidP="00C459FB">
      <w:pPr>
        <w:pStyle w:val="Header"/>
        <w:tabs>
          <w:tab w:val="clear" w:pos="4320"/>
          <w:tab w:val="clear" w:pos="8640"/>
        </w:tabs>
      </w:pPr>
    </w:p>
    <w:p w14:paraId="155E6970" w14:textId="77777777" w:rsidR="00C459FB" w:rsidRPr="00A63AB0" w:rsidRDefault="00C459FB" w:rsidP="00C459FB">
      <w:pPr>
        <w:ind w:left="1440" w:right="-576"/>
        <w:rPr>
          <w:b/>
        </w:rPr>
      </w:pPr>
      <w:r w:rsidRPr="00105523">
        <w:rPr>
          <w:b/>
        </w:rPr>
        <w:t>** Spring Break **</w:t>
      </w:r>
    </w:p>
    <w:p w14:paraId="61FFA595" w14:textId="77777777" w:rsidR="00C459FB" w:rsidRDefault="00C459FB" w:rsidP="00C459FB">
      <w:pPr>
        <w:pStyle w:val="Header"/>
        <w:tabs>
          <w:tab w:val="clear" w:pos="4320"/>
          <w:tab w:val="clear" w:pos="8640"/>
        </w:tabs>
      </w:pPr>
      <w:r>
        <w:rPr>
          <w:b/>
        </w:rPr>
        <w:tab/>
      </w:r>
    </w:p>
    <w:p w14:paraId="6BBD4721" w14:textId="77777777" w:rsidR="003656CD" w:rsidRPr="00154AA0" w:rsidRDefault="00CB6E3B" w:rsidP="003656CD">
      <w:pPr>
        <w:pStyle w:val="Header"/>
        <w:tabs>
          <w:tab w:val="clear" w:pos="4320"/>
          <w:tab w:val="clear" w:pos="8640"/>
        </w:tabs>
        <w:rPr>
          <w:b/>
          <w:i/>
        </w:rPr>
      </w:pPr>
      <w:r>
        <w:tab/>
      </w:r>
      <w:r>
        <w:tab/>
      </w:r>
      <w:proofErr w:type="spellStart"/>
      <w:r w:rsidR="003656CD" w:rsidRPr="00154AA0">
        <w:rPr>
          <w:b/>
          <w:i/>
        </w:rPr>
        <w:t>Momism</w:t>
      </w:r>
      <w:proofErr w:type="spellEnd"/>
      <w:r w:rsidR="003656CD" w:rsidRPr="00154AA0">
        <w:rPr>
          <w:b/>
          <w:i/>
        </w:rPr>
        <w:t xml:space="preserve"> and Women’s Rights</w:t>
      </w:r>
    </w:p>
    <w:p w14:paraId="575EAAC2" w14:textId="77777777" w:rsidR="003656CD" w:rsidRDefault="003656CD" w:rsidP="00C459FB"/>
    <w:p w14:paraId="61D20111" w14:textId="728176F3" w:rsidR="000E0E62" w:rsidRPr="001A507D" w:rsidRDefault="00C459FB" w:rsidP="00C459FB">
      <w:r>
        <w:t>23 March</w:t>
      </w:r>
      <w:r w:rsidR="009F5780">
        <w:t>:</w:t>
      </w:r>
      <w:r w:rsidR="001A507D">
        <w:tab/>
      </w:r>
      <w:r w:rsidR="000E0E62">
        <w:t>Friedan</w:t>
      </w:r>
      <w:r w:rsidR="001A507D">
        <w:t xml:space="preserve">, </w:t>
      </w:r>
      <w:proofErr w:type="spellStart"/>
      <w:r w:rsidR="00361A8C">
        <w:t>ch.</w:t>
      </w:r>
      <w:proofErr w:type="spellEnd"/>
      <w:r w:rsidR="00361A8C">
        <w:t xml:space="preserve"> 1, </w:t>
      </w:r>
      <w:r w:rsidR="001A507D">
        <w:rPr>
          <w:i/>
        </w:rPr>
        <w:t xml:space="preserve">The Feminine Mystique </w:t>
      </w:r>
      <w:r w:rsidR="001A507D">
        <w:t>(Canvas)</w:t>
      </w:r>
    </w:p>
    <w:p w14:paraId="5FD4BF8B" w14:textId="7FC51ED2" w:rsidR="00346ED5" w:rsidRDefault="00346ED5" w:rsidP="00C459FB">
      <w:r>
        <w:tab/>
      </w:r>
      <w:r>
        <w:tab/>
      </w:r>
      <w:proofErr w:type="spellStart"/>
      <w:r>
        <w:t>Halberstam</w:t>
      </w:r>
      <w:proofErr w:type="spellEnd"/>
      <w:r>
        <w:t xml:space="preserve">, </w:t>
      </w:r>
      <w:proofErr w:type="spellStart"/>
      <w:r>
        <w:t>ch.</w:t>
      </w:r>
      <w:proofErr w:type="spellEnd"/>
      <w:r>
        <w:t xml:space="preserve"> 39</w:t>
      </w:r>
    </w:p>
    <w:p w14:paraId="7C168065" w14:textId="54D4314B" w:rsidR="00C459FB" w:rsidRDefault="00361A8C" w:rsidP="00C459FB">
      <w:r>
        <w:tab/>
      </w:r>
      <w:r>
        <w:tab/>
      </w:r>
      <w:r w:rsidRPr="00AF6171">
        <w:rPr>
          <w:i/>
        </w:rPr>
        <w:t xml:space="preserve">I Love Lucy </w:t>
      </w:r>
      <w:r>
        <w:t>– “Job Switching” (Canvas)</w:t>
      </w:r>
    </w:p>
    <w:p w14:paraId="6B73FF35" w14:textId="43C1CBD3" w:rsidR="00C31989" w:rsidRDefault="00D41BFA" w:rsidP="00C459FB">
      <w:pPr>
        <w:rPr>
          <w:i/>
        </w:rPr>
      </w:pPr>
      <w:r>
        <w:tab/>
      </w:r>
      <w:r>
        <w:tab/>
      </w:r>
      <w:r>
        <w:t xml:space="preserve">Option: See also, </w:t>
      </w:r>
      <w:proofErr w:type="spellStart"/>
      <w:r>
        <w:t>McCarey</w:t>
      </w:r>
      <w:proofErr w:type="spellEnd"/>
      <w:r>
        <w:t xml:space="preserve">, </w:t>
      </w:r>
      <w:r>
        <w:rPr>
          <w:i/>
        </w:rPr>
        <w:t>My Son John</w:t>
      </w:r>
    </w:p>
    <w:p w14:paraId="7CB5474D" w14:textId="77777777" w:rsidR="00D41BFA" w:rsidRPr="00C31989" w:rsidRDefault="00D41BFA" w:rsidP="00C459FB"/>
    <w:p w14:paraId="322DFA2A" w14:textId="65B1440E" w:rsidR="000E0E62" w:rsidRPr="000E75ED" w:rsidRDefault="00C459FB" w:rsidP="000E0E62">
      <w:pPr>
        <w:rPr>
          <w:b/>
        </w:rPr>
      </w:pPr>
      <w:r>
        <w:t xml:space="preserve">26 March: </w:t>
      </w:r>
      <w:r>
        <w:tab/>
      </w:r>
      <w:r w:rsidR="00346ED5">
        <w:t xml:space="preserve">Margaret Sanger and Birth Control </w:t>
      </w:r>
    </w:p>
    <w:p w14:paraId="2D306AD6" w14:textId="5A183009" w:rsidR="00C459FB" w:rsidRDefault="00346ED5" w:rsidP="000E0E62">
      <w:r>
        <w:tab/>
      </w:r>
      <w:r>
        <w:tab/>
      </w:r>
      <w:proofErr w:type="spellStart"/>
      <w:r>
        <w:t>Halberstam</w:t>
      </w:r>
      <w:proofErr w:type="spellEnd"/>
      <w:r>
        <w:t xml:space="preserve">, </w:t>
      </w:r>
      <w:proofErr w:type="spellStart"/>
      <w:r>
        <w:t>ch.</w:t>
      </w:r>
      <w:proofErr w:type="spellEnd"/>
      <w:r>
        <w:t xml:space="preserve"> </w:t>
      </w:r>
      <w:r w:rsidR="00D41BFA">
        <w:t xml:space="preserve">21, </w:t>
      </w:r>
      <w:r>
        <w:t>40</w:t>
      </w:r>
    </w:p>
    <w:p w14:paraId="093CC98C" w14:textId="77777777" w:rsidR="00D41BFA" w:rsidRDefault="00D41BFA" w:rsidP="00D41BFA">
      <w:pPr>
        <w:ind w:left="720" w:firstLine="720"/>
      </w:pPr>
      <w:r>
        <w:t>Margaret Sanger Mike Wallace interview (Canvas)</w:t>
      </w:r>
    </w:p>
    <w:p w14:paraId="5AB4A3EB" w14:textId="77777777" w:rsidR="00D41BFA" w:rsidRDefault="00D41BFA" w:rsidP="00D41BFA">
      <w:pPr>
        <w:ind w:left="720" w:firstLine="720"/>
      </w:pPr>
    </w:p>
    <w:p w14:paraId="7C0CA3E6" w14:textId="77777777" w:rsidR="00D41BFA" w:rsidRDefault="00D41BFA" w:rsidP="00D41BFA">
      <w:r>
        <w:t xml:space="preserve"> 30 March: </w:t>
      </w:r>
      <w:r>
        <w:tab/>
        <w:t xml:space="preserve">Birth Control and Abortion   </w:t>
      </w:r>
    </w:p>
    <w:p w14:paraId="663BE64E" w14:textId="4CD83819" w:rsidR="00C31989" w:rsidRPr="00D41BFA" w:rsidRDefault="00D41BFA" w:rsidP="00D41BFA">
      <w:pPr>
        <w:ind w:left="1440"/>
      </w:pPr>
      <w:r>
        <w:t>McCarthy, “Dotty Makes an Honest Woman of Herself” (Canvas</w:t>
      </w:r>
      <w:proofErr w:type="gramStart"/>
      <w:r>
        <w:t>)  I</w:t>
      </w:r>
      <w:proofErr w:type="gramEnd"/>
      <w:r>
        <w:t xml:space="preserve"> Love Lucy –“Lucy Goes to the Hospital” (Canvas); Sexton, “The Abortion” (Canvas)</w:t>
      </w:r>
      <w:r w:rsidR="00C459FB">
        <w:rPr>
          <w:b/>
        </w:rPr>
        <w:tab/>
      </w:r>
      <w:r w:rsidR="00C31989">
        <w:rPr>
          <w:b/>
        </w:rPr>
        <w:tab/>
      </w:r>
      <w:r w:rsidR="00C31989">
        <w:rPr>
          <w:i/>
        </w:rPr>
        <w:br/>
      </w:r>
    </w:p>
    <w:p w14:paraId="0E28D623" w14:textId="7A9FBC3E" w:rsidR="00C805CC" w:rsidRDefault="00C459FB" w:rsidP="00C459FB">
      <w:r>
        <w:t xml:space="preserve">2 April: </w:t>
      </w:r>
      <w:r>
        <w:tab/>
      </w:r>
      <w:r w:rsidR="0039065A">
        <w:t>Artifact Day</w:t>
      </w:r>
      <w:r w:rsidR="00C805CC">
        <w:t xml:space="preserve"> </w:t>
      </w:r>
      <w:r w:rsidR="0039065A">
        <w:t>#3</w:t>
      </w:r>
    </w:p>
    <w:p w14:paraId="70678F3A" w14:textId="77777777" w:rsidR="00CB6E3B" w:rsidRDefault="00CB6E3B" w:rsidP="00C459FB"/>
    <w:p w14:paraId="4FEE8C25" w14:textId="6D43077C" w:rsidR="00CB6E3B" w:rsidRPr="00CB6E3B" w:rsidRDefault="00CB6E3B" w:rsidP="00C459FB">
      <w:pPr>
        <w:rPr>
          <w:b/>
          <w:i/>
        </w:rPr>
      </w:pPr>
      <w:r>
        <w:tab/>
      </w:r>
      <w:r>
        <w:tab/>
      </w:r>
      <w:r w:rsidR="001D6041">
        <w:rPr>
          <w:b/>
          <w:i/>
        </w:rPr>
        <w:t>The Cold War of Civil Rights</w:t>
      </w:r>
    </w:p>
    <w:p w14:paraId="01FD5925" w14:textId="77777777" w:rsidR="00C459FB" w:rsidRDefault="00C459FB" w:rsidP="00C459FB">
      <w:pPr>
        <w:ind w:right="-576"/>
      </w:pPr>
    </w:p>
    <w:p w14:paraId="2656C070" w14:textId="77777777" w:rsidR="00C13A38" w:rsidRDefault="007700B3" w:rsidP="007700B3">
      <w:pPr>
        <w:ind w:right="-396"/>
      </w:pPr>
      <w:r>
        <w:t xml:space="preserve">6 </w:t>
      </w:r>
      <w:r w:rsidR="009F5780">
        <w:t>April:</w:t>
      </w:r>
      <w:r w:rsidR="009F5780">
        <w:tab/>
      </w:r>
      <w:r w:rsidR="000E0E62">
        <w:t>Brown v Board</w:t>
      </w:r>
      <w:r w:rsidR="00C13A38">
        <w:t xml:space="preserve"> of Education, Topeka, KS</w:t>
      </w:r>
    </w:p>
    <w:p w14:paraId="466B3601" w14:textId="77777777" w:rsidR="00C13A38" w:rsidRDefault="004851F3" w:rsidP="00C13A38">
      <w:pPr>
        <w:ind w:left="720" w:right="-396" w:firstLine="720"/>
      </w:pPr>
      <w:proofErr w:type="spellStart"/>
      <w:r>
        <w:t>Halberstam</w:t>
      </w:r>
      <w:proofErr w:type="spellEnd"/>
      <w:r>
        <w:t xml:space="preserve">, </w:t>
      </w:r>
      <w:proofErr w:type="spellStart"/>
      <w:r w:rsidR="007700B3">
        <w:t>ch.</w:t>
      </w:r>
      <w:proofErr w:type="spellEnd"/>
      <w:r w:rsidR="007700B3">
        <w:t xml:space="preserve"> 28</w:t>
      </w:r>
    </w:p>
    <w:p w14:paraId="37834F82" w14:textId="4F7ABC96" w:rsidR="007700B3" w:rsidRDefault="004851F3" w:rsidP="00C13A38">
      <w:pPr>
        <w:ind w:left="720" w:right="-396" w:firstLine="720"/>
      </w:pPr>
      <w:proofErr w:type="spellStart"/>
      <w:r>
        <w:lastRenderedPageBreak/>
        <w:t>Dudziak</w:t>
      </w:r>
      <w:proofErr w:type="spellEnd"/>
      <w:r>
        <w:t>, “</w:t>
      </w:r>
      <w:r w:rsidRPr="007700B3">
        <w:rPr>
          <w:i/>
        </w:rPr>
        <w:t>Brown</w:t>
      </w:r>
      <w:r>
        <w:t xml:space="preserve"> as a Cold War Case”</w:t>
      </w:r>
      <w:r w:rsidR="00C13A38">
        <w:t xml:space="preserve"> </w:t>
      </w:r>
      <w:r w:rsidR="001A507D">
        <w:t>(Canvas)</w:t>
      </w:r>
    </w:p>
    <w:p w14:paraId="3BC6DB1D" w14:textId="77777777" w:rsidR="007700B3" w:rsidRDefault="007700B3" w:rsidP="007700B3">
      <w:pPr>
        <w:pStyle w:val="ListParagraph"/>
        <w:ind w:right="-396"/>
      </w:pPr>
    </w:p>
    <w:p w14:paraId="3F2EB41B" w14:textId="3F832439" w:rsidR="00C459FB" w:rsidRDefault="00C459FB" w:rsidP="00F139B6">
      <w:pPr>
        <w:ind w:right="-396"/>
      </w:pPr>
      <w:r>
        <w:t>9 April:</w:t>
      </w:r>
      <w:r>
        <w:tab/>
      </w:r>
      <w:r w:rsidR="000E0E62">
        <w:t>Baldwin</w:t>
      </w:r>
      <w:r w:rsidR="007700B3">
        <w:t>, “The Harlem Ghetto,” “Notes from a Native Son”</w:t>
      </w:r>
      <w:r w:rsidR="001A507D">
        <w:t xml:space="preserve"> (Canvas)</w:t>
      </w:r>
      <w:r>
        <w:tab/>
      </w:r>
    </w:p>
    <w:p w14:paraId="4819B099" w14:textId="77777777" w:rsidR="00560E70" w:rsidRDefault="00560E70" w:rsidP="00C459FB">
      <w:pPr>
        <w:ind w:left="1440" w:right="-396" w:hanging="1440"/>
      </w:pPr>
    </w:p>
    <w:p w14:paraId="7E4006A9" w14:textId="34BFCFD8" w:rsidR="00C13A38" w:rsidRDefault="00C459FB" w:rsidP="00C459FB">
      <w:pPr>
        <w:ind w:right="-396"/>
      </w:pPr>
      <w:r>
        <w:t>13 April:</w:t>
      </w:r>
      <w:r>
        <w:tab/>
      </w:r>
      <w:r w:rsidR="001D6041">
        <w:t xml:space="preserve">The </w:t>
      </w:r>
      <w:r w:rsidR="00C13A38">
        <w:t>Lynching</w:t>
      </w:r>
      <w:r w:rsidR="001D6041">
        <w:t xml:space="preserve"> of </w:t>
      </w:r>
      <w:r w:rsidR="004851F3">
        <w:t>Em</w:t>
      </w:r>
      <w:r w:rsidR="00C13A38">
        <w:t>mett Till</w:t>
      </w:r>
      <w:r w:rsidR="00F4423C">
        <w:t xml:space="preserve"> I</w:t>
      </w:r>
    </w:p>
    <w:p w14:paraId="3F43786B" w14:textId="77777777" w:rsidR="00C13A38" w:rsidRDefault="00560E70" w:rsidP="00C13A38">
      <w:pPr>
        <w:ind w:left="720" w:right="-396" w:firstLine="720"/>
      </w:pPr>
      <w:proofErr w:type="spellStart"/>
      <w:r>
        <w:t>Halberstam</w:t>
      </w:r>
      <w:proofErr w:type="spellEnd"/>
      <w:r>
        <w:t xml:space="preserve">, </w:t>
      </w:r>
      <w:proofErr w:type="spellStart"/>
      <w:r w:rsidR="00C82701">
        <w:t>ch.</w:t>
      </w:r>
      <w:proofErr w:type="spellEnd"/>
      <w:r w:rsidR="00C82701">
        <w:t xml:space="preserve"> 29</w:t>
      </w:r>
    </w:p>
    <w:p w14:paraId="7DC048D2" w14:textId="57A4A48B" w:rsidR="00C459FB" w:rsidRDefault="001D6041" w:rsidP="00C13A38">
      <w:pPr>
        <w:ind w:left="720" w:right="-396" w:firstLine="720"/>
      </w:pPr>
      <w:proofErr w:type="spellStart"/>
      <w:r>
        <w:t>Metress</w:t>
      </w:r>
      <w:proofErr w:type="spellEnd"/>
      <w:r>
        <w:t xml:space="preserve">, </w:t>
      </w:r>
      <w:r w:rsidR="007A11AE">
        <w:t>pp. 1-43</w:t>
      </w:r>
    </w:p>
    <w:p w14:paraId="74F8B22D" w14:textId="6B814AB0" w:rsidR="00102AFA" w:rsidRDefault="00102AFA" w:rsidP="00C13A38">
      <w:pPr>
        <w:ind w:left="720" w:right="-396" w:firstLine="720"/>
      </w:pPr>
      <w:r>
        <w:t>*1 pg. Research Proposals Due*</w:t>
      </w:r>
    </w:p>
    <w:p w14:paraId="54B69866" w14:textId="77777777" w:rsidR="00C459FB" w:rsidRDefault="00C459FB" w:rsidP="00C459FB">
      <w:pPr>
        <w:ind w:right="-396"/>
      </w:pPr>
    </w:p>
    <w:p w14:paraId="6A070C13" w14:textId="3D956637" w:rsidR="00C13A38" w:rsidRDefault="004851F3" w:rsidP="009F5780">
      <w:r>
        <w:t xml:space="preserve">16 April: </w:t>
      </w:r>
      <w:r>
        <w:tab/>
      </w:r>
      <w:r w:rsidR="00C13A38">
        <w:t xml:space="preserve">The Lynching of </w:t>
      </w:r>
      <w:r>
        <w:t>Emme</w:t>
      </w:r>
      <w:r w:rsidR="000E0E62">
        <w:t>tt Till</w:t>
      </w:r>
      <w:r w:rsidR="00F4423C">
        <w:t xml:space="preserve"> II</w:t>
      </w:r>
    </w:p>
    <w:p w14:paraId="2CFDB191" w14:textId="62494914" w:rsidR="00C13A38" w:rsidRDefault="001D6041" w:rsidP="00C13A38">
      <w:pPr>
        <w:ind w:left="720" w:firstLine="720"/>
      </w:pPr>
      <w:proofErr w:type="spellStart"/>
      <w:r>
        <w:t>Metress</w:t>
      </w:r>
      <w:proofErr w:type="spellEnd"/>
      <w:proofErr w:type="gramStart"/>
      <w:r>
        <w:t xml:space="preserve">, </w:t>
      </w:r>
      <w:r w:rsidR="00560E70">
        <w:t xml:space="preserve"> </w:t>
      </w:r>
      <w:r w:rsidR="007A11AE">
        <w:t>44</w:t>
      </w:r>
      <w:proofErr w:type="gramEnd"/>
      <w:r w:rsidR="007A11AE">
        <w:t>-152, 200-208</w:t>
      </w:r>
    </w:p>
    <w:p w14:paraId="5C05C97B" w14:textId="72FA8A64" w:rsidR="00C459FB" w:rsidRPr="00C10AF7" w:rsidRDefault="00560E70" w:rsidP="00C13A38">
      <w:pPr>
        <w:ind w:left="720" w:firstLine="720"/>
      </w:pPr>
      <w:r>
        <w:t>Feldstein, “I Wante</w:t>
      </w:r>
      <w:r w:rsidR="001D6041">
        <w:t>d</w:t>
      </w:r>
      <w:r w:rsidR="00C13A38">
        <w:t xml:space="preserve"> the Whole World to See: Race,</w:t>
      </w:r>
      <w:r w:rsidR="00C13A38">
        <w:tab/>
        <w:t xml:space="preserve"> </w:t>
      </w:r>
      <w:r w:rsidR="001D6041">
        <w:t xml:space="preserve">Gender, </w:t>
      </w:r>
      <w:r w:rsidR="00C13A38">
        <w:t>and</w:t>
      </w:r>
      <w:r w:rsidR="00C13A38">
        <w:tab/>
      </w:r>
      <w:r>
        <w:t>Constructions of Motherho</w:t>
      </w:r>
      <w:r w:rsidR="00C13A38">
        <w:t xml:space="preserve">od in the Death of Emmett Till” </w:t>
      </w:r>
      <w:r w:rsidR="001A507D">
        <w:t>(Canvas)</w:t>
      </w:r>
    </w:p>
    <w:p w14:paraId="650F6233" w14:textId="77777777" w:rsidR="00C459FB" w:rsidRDefault="00C459FB" w:rsidP="00C459FB">
      <w:pPr>
        <w:rPr>
          <w:i/>
        </w:rPr>
      </w:pPr>
    </w:p>
    <w:p w14:paraId="3CB46F32" w14:textId="5D059BF8" w:rsidR="000E0E62" w:rsidRDefault="00C459FB" w:rsidP="00C459FB">
      <w:r>
        <w:t xml:space="preserve">20 April: </w:t>
      </w:r>
      <w:r>
        <w:tab/>
      </w:r>
      <w:r w:rsidR="0039065A">
        <w:t>Artifact Day #4</w:t>
      </w:r>
    </w:p>
    <w:p w14:paraId="4EFE013C" w14:textId="77777777" w:rsidR="00264C28" w:rsidRDefault="00264C28" w:rsidP="00C459FB"/>
    <w:p w14:paraId="01822CC6" w14:textId="5FA7C956" w:rsidR="00264C28" w:rsidRPr="00264C28" w:rsidRDefault="00264C28" w:rsidP="00C459FB">
      <w:pPr>
        <w:rPr>
          <w:b/>
          <w:i/>
        </w:rPr>
      </w:pPr>
      <w:r>
        <w:tab/>
      </w:r>
      <w:r>
        <w:tab/>
      </w:r>
      <w:r w:rsidRPr="00264C28">
        <w:rPr>
          <w:b/>
          <w:i/>
        </w:rPr>
        <w:t>Race and the Beats</w:t>
      </w:r>
    </w:p>
    <w:p w14:paraId="291EC004" w14:textId="77777777" w:rsidR="000E0E62" w:rsidRDefault="000E0E62" w:rsidP="00C459FB"/>
    <w:p w14:paraId="53F882E8" w14:textId="49596796" w:rsidR="00C459FB" w:rsidRPr="00C13A38" w:rsidRDefault="000E0E62" w:rsidP="00006C5F">
      <w:r>
        <w:t xml:space="preserve">23 April: </w:t>
      </w:r>
      <w:r>
        <w:tab/>
        <w:t>Kerouac</w:t>
      </w:r>
      <w:r w:rsidR="00006C5F">
        <w:t xml:space="preserve">, </w:t>
      </w:r>
      <w:r w:rsidR="00006C5F" w:rsidRPr="00006C5F">
        <w:rPr>
          <w:i/>
        </w:rPr>
        <w:t>On the Road</w:t>
      </w:r>
      <w:r w:rsidR="00C13A38">
        <w:t>, parts 1 and 2</w:t>
      </w:r>
    </w:p>
    <w:p w14:paraId="7FC2E72D" w14:textId="77777777" w:rsidR="00C459FB" w:rsidRDefault="00C459FB" w:rsidP="00C459FB">
      <w:pPr>
        <w:rPr>
          <w:b/>
        </w:rPr>
      </w:pPr>
      <w:r>
        <w:rPr>
          <w:i/>
        </w:rPr>
        <w:tab/>
      </w:r>
      <w:r>
        <w:rPr>
          <w:i/>
        </w:rPr>
        <w:tab/>
      </w:r>
    </w:p>
    <w:p w14:paraId="7A3B9833" w14:textId="05E7C82D" w:rsidR="00006C5F" w:rsidRPr="00C13A38" w:rsidRDefault="00C459FB" w:rsidP="00C459FB">
      <w:r>
        <w:t>2</w:t>
      </w:r>
      <w:r w:rsidR="000E0E62">
        <w:t>7</w:t>
      </w:r>
      <w:r>
        <w:t xml:space="preserve"> April: </w:t>
      </w:r>
      <w:r>
        <w:tab/>
      </w:r>
      <w:r w:rsidR="000E0E62">
        <w:t xml:space="preserve">Kerouac, </w:t>
      </w:r>
      <w:r w:rsidR="00006C5F">
        <w:rPr>
          <w:i/>
        </w:rPr>
        <w:t>On the Road</w:t>
      </w:r>
      <w:r w:rsidR="00C13A38">
        <w:t>, parts 3, 4, and 5</w:t>
      </w:r>
    </w:p>
    <w:p w14:paraId="732BB4F0" w14:textId="160089D9" w:rsidR="00C459FB" w:rsidRDefault="00006C5F" w:rsidP="00006C5F">
      <w:pPr>
        <w:ind w:left="720" w:firstLine="720"/>
      </w:pPr>
      <w:r>
        <w:t xml:space="preserve">Mailer, “The </w:t>
      </w:r>
      <w:r w:rsidR="000E0E62">
        <w:t>White Negro</w:t>
      </w:r>
      <w:r>
        <w:t>” (Canvas)</w:t>
      </w:r>
    </w:p>
    <w:p w14:paraId="64C377E6" w14:textId="39DB8F18" w:rsidR="008224D7" w:rsidRDefault="008224D7" w:rsidP="00006C5F">
      <w:pPr>
        <w:ind w:left="720" w:firstLine="720"/>
      </w:pPr>
      <w:r>
        <w:t>Listening to Bebop (Canvas)</w:t>
      </w:r>
    </w:p>
    <w:p w14:paraId="3D633DD5" w14:textId="2EEA7821" w:rsidR="00102AFA" w:rsidRDefault="00102AFA" w:rsidP="00006C5F">
      <w:pPr>
        <w:ind w:left="720" w:firstLine="720"/>
      </w:pPr>
      <w:r>
        <w:t>*Annotated Bibliography Due*</w:t>
      </w:r>
    </w:p>
    <w:p w14:paraId="3A4E84E8" w14:textId="77777777" w:rsidR="00C459FB" w:rsidRDefault="00C459FB" w:rsidP="00C459FB">
      <w:pPr>
        <w:rPr>
          <w:b/>
        </w:rPr>
      </w:pPr>
    </w:p>
    <w:p w14:paraId="2DB50A46" w14:textId="2256CE08" w:rsidR="00006C5F" w:rsidRPr="00DB414B" w:rsidRDefault="000E0E62" w:rsidP="00C459FB">
      <w:pPr>
        <w:rPr>
          <w:i/>
        </w:rPr>
      </w:pPr>
      <w:r>
        <w:t>30</w:t>
      </w:r>
      <w:r w:rsidR="00C459FB">
        <w:t xml:space="preserve">April: </w:t>
      </w:r>
      <w:r w:rsidR="00C459FB">
        <w:tab/>
      </w:r>
      <w:r>
        <w:t xml:space="preserve">Kerouac, </w:t>
      </w:r>
      <w:r w:rsidR="00DB414B">
        <w:rPr>
          <w:i/>
        </w:rPr>
        <w:t>On the Road</w:t>
      </w:r>
    </w:p>
    <w:p w14:paraId="714D9C02" w14:textId="29652A84" w:rsidR="00C459FB" w:rsidRDefault="00006C5F" w:rsidP="00006C5F">
      <w:pPr>
        <w:ind w:left="720" w:firstLine="720"/>
      </w:pPr>
      <w:r>
        <w:t xml:space="preserve">Mailer, “The </w:t>
      </w:r>
      <w:r w:rsidR="000E0E62">
        <w:t>White Negro</w:t>
      </w:r>
      <w:r>
        <w:t>” (Canvas)</w:t>
      </w:r>
    </w:p>
    <w:p w14:paraId="0D0CC3EF" w14:textId="7229B808" w:rsidR="00C459FB" w:rsidRDefault="00DB414B" w:rsidP="00C459FB">
      <w:r>
        <w:tab/>
      </w:r>
      <w:r>
        <w:tab/>
      </w:r>
      <w:r w:rsidR="00B33626">
        <w:t xml:space="preserve">Bertrand, selection from </w:t>
      </w:r>
      <w:r w:rsidR="00B33626" w:rsidRPr="00B33626">
        <w:rPr>
          <w:i/>
        </w:rPr>
        <w:t>Race, Rock, and Elvis</w:t>
      </w:r>
      <w:r w:rsidR="00B33626">
        <w:t xml:space="preserve"> (Canvas) </w:t>
      </w:r>
    </w:p>
    <w:p w14:paraId="606B5B5A" w14:textId="77777777" w:rsidR="004E717C" w:rsidRDefault="004E717C" w:rsidP="00C459FB"/>
    <w:p w14:paraId="3DC568B6" w14:textId="0ED9F08C" w:rsidR="00C459FB" w:rsidRDefault="004E717C" w:rsidP="00C459FB">
      <w:pPr>
        <w:ind w:left="1440" w:hanging="1440"/>
      </w:pPr>
      <w:r>
        <w:t>4 May:</w:t>
      </w:r>
      <w:r>
        <w:tab/>
        <w:t xml:space="preserve">Work on </w:t>
      </w:r>
      <w:r w:rsidR="0024321F">
        <w:t>Research</w:t>
      </w:r>
    </w:p>
    <w:p w14:paraId="5D13CE58" w14:textId="77777777" w:rsidR="00694EF5" w:rsidRDefault="00694EF5" w:rsidP="00C459FB">
      <w:pPr>
        <w:ind w:left="1440" w:hanging="1440"/>
      </w:pPr>
    </w:p>
    <w:p w14:paraId="5BDFEBCC" w14:textId="334A47E9" w:rsidR="00694EF5" w:rsidRDefault="00694EF5" w:rsidP="00C459FB">
      <w:pPr>
        <w:ind w:left="1440" w:hanging="1440"/>
        <w:rPr>
          <w:b/>
          <w:i/>
        </w:rPr>
      </w:pPr>
      <w:r>
        <w:tab/>
      </w:r>
      <w:r>
        <w:rPr>
          <w:b/>
          <w:i/>
        </w:rPr>
        <w:t>Looking Back</w:t>
      </w:r>
    </w:p>
    <w:p w14:paraId="49106695" w14:textId="77777777" w:rsidR="003C3D88" w:rsidRPr="00694EF5" w:rsidRDefault="003C3D88" w:rsidP="00C459FB">
      <w:pPr>
        <w:ind w:left="1440" w:hanging="1440"/>
        <w:rPr>
          <w:b/>
          <w:i/>
        </w:rPr>
      </w:pPr>
    </w:p>
    <w:p w14:paraId="291CDE53" w14:textId="4D7CD551" w:rsidR="00006C5F" w:rsidRDefault="003C3D88" w:rsidP="00C459FB">
      <w:pPr>
        <w:ind w:left="1440" w:hanging="1440"/>
      </w:pPr>
      <w:r>
        <w:t>6 May:</w:t>
      </w:r>
      <w:r>
        <w:tab/>
        <w:t>Celebration of Student Achievement</w:t>
      </w:r>
    </w:p>
    <w:p w14:paraId="72F89FE5" w14:textId="471B0EC6" w:rsidR="00102AFA" w:rsidRDefault="00102AFA" w:rsidP="00C459FB">
      <w:pPr>
        <w:ind w:left="1440" w:hanging="1440"/>
      </w:pPr>
      <w:r>
        <w:tab/>
        <w:t>Honors students give poster board presentations</w:t>
      </w:r>
      <w:bookmarkStart w:id="0" w:name="_GoBack"/>
      <w:bookmarkEnd w:id="0"/>
    </w:p>
    <w:p w14:paraId="153C3A06" w14:textId="77777777" w:rsidR="003C3D88" w:rsidRDefault="003C3D88" w:rsidP="00C459FB">
      <w:pPr>
        <w:ind w:left="1440" w:hanging="1440"/>
      </w:pPr>
    </w:p>
    <w:p w14:paraId="594EF37E" w14:textId="5D2E8792" w:rsidR="009F5780" w:rsidRDefault="00C459FB" w:rsidP="00C459FB">
      <w:pPr>
        <w:ind w:left="1440" w:hanging="1440"/>
      </w:pPr>
      <w:r>
        <w:t>7 May:</w:t>
      </w:r>
      <w:r>
        <w:tab/>
      </w:r>
      <w:proofErr w:type="spellStart"/>
      <w:r w:rsidR="00694EF5">
        <w:t>Frankenheimer</w:t>
      </w:r>
      <w:proofErr w:type="spellEnd"/>
      <w:r w:rsidR="00832AA5">
        <w:t xml:space="preserve">, </w:t>
      </w:r>
      <w:r w:rsidR="00694EF5" w:rsidRPr="0039065A">
        <w:rPr>
          <w:i/>
        </w:rPr>
        <w:t>The Manchurian Candidate</w:t>
      </w:r>
      <w:r w:rsidR="00694EF5">
        <w:t xml:space="preserve"> (1962)</w:t>
      </w:r>
    </w:p>
    <w:p w14:paraId="476EFFB3" w14:textId="08545F01" w:rsidR="00166D9A" w:rsidRDefault="00166D9A" w:rsidP="00C459FB">
      <w:pPr>
        <w:ind w:left="1440" w:hanging="1440"/>
      </w:pPr>
      <w:r>
        <w:tab/>
        <w:t>Eisenhower, Farewell Address (Canvas)</w:t>
      </w:r>
    </w:p>
    <w:p w14:paraId="44E01FC2" w14:textId="77777777" w:rsidR="009F5780" w:rsidRDefault="009F5780" w:rsidP="00C459FB">
      <w:pPr>
        <w:ind w:left="1440" w:hanging="1440"/>
      </w:pPr>
    </w:p>
    <w:p w14:paraId="652F4066" w14:textId="77777777" w:rsidR="00C459FB" w:rsidRPr="00BF6024" w:rsidRDefault="00C459FB" w:rsidP="00C459FB">
      <w:pPr>
        <w:ind w:left="1440" w:hanging="1440"/>
      </w:pPr>
      <w:r>
        <w:t xml:space="preserve"> </w:t>
      </w:r>
    </w:p>
    <w:p w14:paraId="60C66A9C" w14:textId="77777777" w:rsidR="00C459FB" w:rsidRDefault="00C459FB" w:rsidP="00C459FB">
      <w:pPr>
        <w:pStyle w:val="Heading1"/>
        <w:rPr>
          <w:sz w:val="28"/>
        </w:rPr>
      </w:pPr>
      <w:r>
        <w:rPr>
          <w:sz w:val="28"/>
        </w:rPr>
        <w:t>Course Policies</w:t>
      </w:r>
    </w:p>
    <w:p w14:paraId="36F4CF8B" w14:textId="77777777" w:rsidR="00C459FB" w:rsidRDefault="00C459FB" w:rsidP="00C459FB">
      <w:pPr>
        <w:rPr>
          <w:b/>
        </w:rPr>
      </w:pPr>
    </w:p>
    <w:p w14:paraId="68CADE69" w14:textId="77777777" w:rsidR="00C459FB" w:rsidRDefault="00C459FB" w:rsidP="00C459FB">
      <w:pPr>
        <w:numPr>
          <w:ilvl w:val="0"/>
          <w:numId w:val="1"/>
        </w:numPr>
        <w:tabs>
          <w:tab w:val="clear" w:pos="720"/>
          <w:tab w:val="num" w:pos="180"/>
        </w:tabs>
        <w:ind w:left="180" w:right="-396" w:firstLine="0"/>
        <w:rPr>
          <w:sz w:val="22"/>
        </w:rPr>
      </w:pPr>
      <w:r>
        <w:rPr>
          <w:sz w:val="22"/>
        </w:rPr>
        <w:t xml:space="preserve">The success of this course depends on your keeping-up with the reading and participating in class.  On some days I will take a firm hand in guiding you through the texts; on others, I will leave the discussions open to the class.  Your attendance and participation are mandatory.  After two absences (regardless of the reason), your participation grade will suffer.  If circumstances arise which </w:t>
      </w:r>
      <w:r>
        <w:rPr>
          <w:sz w:val="22"/>
        </w:rPr>
        <w:lastRenderedPageBreak/>
        <w:t>mandate a prolonged absence, please contact the Office of Student Life (771-2201) and provide me with appropriate documentation.</w:t>
      </w:r>
    </w:p>
    <w:p w14:paraId="49C356F5" w14:textId="77777777" w:rsidR="00C459FB" w:rsidRDefault="00C459FB" w:rsidP="00C459FB">
      <w:pPr>
        <w:tabs>
          <w:tab w:val="num" w:pos="180"/>
        </w:tabs>
        <w:ind w:left="180"/>
        <w:rPr>
          <w:sz w:val="22"/>
        </w:rPr>
      </w:pPr>
    </w:p>
    <w:p w14:paraId="65EBD5A9" w14:textId="54B75B1D" w:rsidR="00C459FB" w:rsidRDefault="00C459FB" w:rsidP="00191835">
      <w:pPr>
        <w:numPr>
          <w:ilvl w:val="0"/>
          <w:numId w:val="1"/>
        </w:numPr>
        <w:tabs>
          <w:tab w:val="clear" w:pos="720"/>
          <w:tab w:val="num" w:pos="180"/>
        </w:tabs>
        <w:ind w:left="180" w:right="-216" w:firstLine="0"/>
        <w:rPr>
          <w:sz w:val="22"/>
        </w:rPr>
      </w:pPr>
      <w:r>
        <w:rPr>
          <w:sz w:val="22"/>
        </w:rPr>
        <w:t>Written assignments:  You will write four short papers in this course (</w:t>
      </w:r>
      <w:r w:rsidR="00496D70">
        <w:rPr>
          <w:sz w:val="22"/>
        </w:rPr>
        <w:t>approximately 750 words</w:t>
      </w:r>
      <w:r>
        <w:rPr>
          <w:sz w:val="22"/>
        </w:rPr>
        <w:t>) and one medium-length research paper (</w:t>
      </w:r>
      <w:r w:rsidR="00496D70">
        <w:rPr>
          <w:sz w:val="22"/>
        </w:rPr>
        <w:t>3000-3600</w:t>
      </w:r>
      <w:r>
        <w:rPr>
          <w:sz w:val="22"/>
        </w:rPr>
        <w:t xml:space="preserve"> words</w:t>
      </w:r>
      <w:r w:rsidR="00496D70">
        <w:rPr>
          <w:sz w:val="22"/>
        </w:rPr>
        <w:t>; 4200-4600 words for Honors students</w:t>
      </w:r>
      <w:r>
        <w:rPr>
          <w:sz w:val="22"/>
        </w:rPr>
        <w:t xml:space="preserve">) </w:t>
      </w:r>
      <w:r w:rsidR="00496D70">
        <w:rPr>
          <w:sz w:val="22"/>
        </w:rPr>
        <w:t>on an historical and/ or cultural topic</w:t>
      </w:r>
      <w:r>
        <w:rPr>
          <w:sz w:val="22"/>
        </w:rPr>
        <w:t>.</w:t>
      </w:r>
      <w:r w:rsidR="00191835">
        <w:rPr>
          <w:sz w:val="22"/>
        </w:rPr>
        <w:t xml:space="preserve">  We will discuss the various steps involved in the research paper (including the due dates and requirements for a proposal, bibliography, </w:t>
      </w:r>
      <w:proofErr w:type="spellStart"/>
      <w:r w:rsidR="00191835">
        <w:rPr>
          <w:sz w:val="22"/>
        </w:rPr>
        <w:t>etc</w:t>
      </w:r>
      <w:proofErr w:type="spellEnd"/>
      <w:r w:rsidR="00191835">
        <w:rPr>
          <w:sz w:val="22"/>
        </w:rPr>
        <w:t>) in class.</w:t>
      </w:r>
    </w:p>
    <w:p w14:paraId="31DF1085" w14:textId="77777777" w:rsidR="00C459FB" w:rsidRDefault="00C459FB" w:rsidP="00C459FB">
      <w:pPr>
        <w:tabs>
          <w:tab w:val="num" w:pos="180"/>
        </w:tabs>
        <w:ind w:left="180"/>
        <w:rPr>
          <w:sz w:val="22"/>
        </w:rPr>
      </w:pPr>
    </w:p>
    <w:p w14:paraId="55898845" w14:textId="19900848" w:rsidR="00C459FB" w:rsidRDefault="00C459FB" w:rsidP="00C459FB">
      <w:pPr>
        <w:numPr>
          <w:ilvl w:val="0"/>
          <w:numId w:val="1"/>
        </w:numPr>
        <w:tabs>
          <w:tab w:val="clear" w:pos="720"/>
          <w:tab w:val="num" w:pos="180"/>
        </w:tabs>
        <w:ind w:left="180" w:firstLine="0"/>
        <w:rPr>
          <w:sz w:val="22"/>
        </w:rPr>
      </w:pPr>
      <w:r>
        <w:rPr>
          <w:sz w:val="22"/>
        </w:rPr>
        <w:t>All essays must be printed legibly on 8.5 x 11 white paper.  They must be turned in during class on the date that they are due and also submitted to Canvas.  I will reduce the grade by 10% for each 24 hour period a paper is late.  Papers over 72 hours late risk failure, unless you’ve made prior arrangements with me.</w:t>
      </w:r>
    </w:p>
    <w:p w14:paraId="284587CB" w14:textId="77777777" w:rsidR="005552F7" w:rsidRDefault="005552F7" w:rsidP="005552F7">
      <w:pPr>
        <w:rPr>
          <w:sz w:val="22"/>
        </w:rPr>
      </w:pPr>
    </w:p>
    <w:p w14:paraId="561EF921" w14:textId="4519B08E" w:rsidR="006B676C" w:rsidRDefault="005552F7" w:rsidP="00C459FB">
      <w:pPr>
        <w:numPr>
          <w:ilvl w:val="0"/>
          <w:numId w:val="1"/>
        </w:numPr>
        <w:tabs>
          <w:tab w:val="clear" w:pos="720"/>
          <w:tab w:val="num" w:pos="180"/>
        </w:tabs>
        <w:ind w:left="180" w:firstLine="0"/>
        <w:rPr>
          <w:sz w:val="22"/>
        </w:rPr>
      </w:pPr>
      <w:r>
        <w:rPr>
          <w:sz w:val="22"/>
        </w:rPr>
        <w:t xml:space="preserve">Artifact Days: Four times during the semester our class will give way to a discussion of original artifacts from the 1950s that you have discovered independently.  These artifacts should relate to the theme we have been discussing for the previous several weeks.  </w:t>
      </w:r>
      <w:r w:rsidR="007E509B">
        <w:rPr>
          <w:sz w:val="22"/>
        </w:rPr>
        <w:t>Students</w:t>
      </w:r>
      <w:r>
        <w:rPr>
          <w:sz w:val="22"/>
        </w:rPr>
        <w:t xml:space="preserve"> will submit a </w:t>
      </w:r>
      <w:r w:rsidR="006B676C">
        <w:rPr>
          <w:sz w:val="22"/>
        </w:rPr>
        <w:t>short paper that describes the</w:t>
      </w:r>
      <w:r w:rsidR="007E509B">
        <w:rPr>
          <w:sz w:val="22"/>
        </w:rPr>
        <w:t>ir</w:t>
      </w:r>
      <w:r w:rsidR="006B676C">
        <w:rPr>
          <w:sz w:val="22"/>
        </w:rPr>
        <w:t xml:space="preserve"> artifact and examines its relationship to the theme and period.  </w:t>
      </w:r>
      <w:r w:rsidR="007E509B">
        <w:rPr>
          <w:sz w:val="22"/>
        </w:rPr>
        <w:t>Two times during the semester you</w:t>
      </w:r>
      <w:r w:rsidR="006B676C">
        <w:rPr>
          <w:sz w:val="22"/>
        </w:rPr>
        <w:t xml:space="preserve"> will present </w:t>
      </w:r>
      <w:r w:rsidR="007E509B">
        <w:rPr>
          <w:sz w:val="22"/>
        </w:rPr>
        <w:t xml:space="preserve">your </w:t>
      </w:r>
      <w:r w:rsidR="006B676C">
        <w:rPr>
          <w:sz w:val="22"/>
        </w:rPr>
        <w:t>research to the class in a formal 5-7 minute presentation.  We will talk more about the expectations for these assignments in the semester’s first weeks.</w:t>
      </w:r>
    </w:p>
    <w:p w14:paraId="56DDA2D8" w14:textId="77777777" w:rsidR="006B676C" w:rsidRDefault="006B676C" w:rsidP="006B676C">
      <w:pPr>
        <w:rPr>
          <w:sz w:val="22"/>
        </w:rPr>
      </w:pPr>
    </w:p>
    <w:p w14:paraId="55974BD8" w14:textId="70B47376" w:rsidR="005552F7" w:rsidRDefault="006B676C" w:rsidP="00C459FB">
      <w:pPr>
        <w:numPr>
          <w:ilvl w:val="0"/>
          <w:numId w:val="1"/>
        </w:numPr>
        <w:tabs>
          <w:tab w:val="clear" w:pos="720"/>
          <w:tab w:val="num" w:pos="180"/>
        </w:tabs>
        <w:ind w:left="180" w:firstLine="0"/>
        <w:rPr>
          <w:sz w:val="22"/>
        </w:rPr>
      </w:pPr>
      <w:r>
        <w:rPr>
          <w:sz w:val="22"/>
        </w:rPr>
        <w:t xml:space="preserve">Celebration of Student Achievement:  All Honors students will present the materials associated with their final research paper in a poster session during the Celebration of Student Achievement.  </w:t>
      </w:r>
      <w:r w:rsidR="00123B1C">
        <w:rPr>
          <w:sz w:val="22"/>
        </w:rPr>
        <w:t xml:space="preserve">This experience can be valuable in preparing a final paper, so </w:t>
      </w:r>
      <w:r w:rsidR="007E509B">
        <w:rPr>
          <w:sz w:val="22"/>
        </w:rPr>
        <w:t xml:space="preserve">although it is not required, </w:t>
      </w:r>
      <w:r w:rsidR="00123B1C">
        <w:rPr>
          <w:sz w:val="22"/>
        </w:rPr>
        <w:t xml:space="preserve">students enrolled as US Studies or English students are </w:t>
      </w:r>
      <w:r w:rsidR="007E509B">
        <w:rPr>
          <w:sz w:val="22"/>
        </w:rPr>
        <w:t>welcome to participate as well.</w:t>
      </w:r>
    </w:p>
    <w:p w14:paraId="0E820966" w14:textId="77777777" w:rsidR="00C459FB" w:rsidRPr="00BF6024" w:rsidRDefault="00C459FB" w:rsidP="009E08B4">
      <w:pPr>
        <w:tabs>
          <w:tab w:val="num" w:pos="180"/>
        </w:tabs>
        <w:rPr>
          <w:sz w:val="22"/>
          <w:szCs w:val="22"/>
        </w:rPr>
      </w:pPr>
    </w:p>
    <w:p w14:paraId="2DAF4521" w14:textId="77777777" w:rsidR="00C459FB" w:rsidRPr="007D5A94" w:rsidRDefault="00C459FB" w:rsidP="00C459FB">
      <w:pPr>
        <w:numPr>
          <w:ilvl w:val="0"/>
          <w:numId w:val="1"/>
        </w:numPr>
        <w:tabs>
          <w:tab w:val="clear" w:pos="720"/>
          <w:tab w:val="num" w:pos="180"/>
        </w:tabs>
        <w:ind w:left="180" w:firstLine="0"/>
        <w:rPr>
          <w:sz w:val="22"/>
        </w:rPr>
      </w:pPr>
      <w:r w:rsidRPr="007D5A94">
        <w:rPr>
          <w:sz w:val="22"/>
          <w:szCs w:val="22"/>
        </w:rPr>
        <w:t xml:space="preserve">The College of New Jersey prohibits students from using the same paper for two different courses </w:t>
      </w:r>
      <w:r w:rsidRPr="007D5A94">
        <w:rPr>
          <w:i/>
          <w:sz w:val="22"/>
          <w:szCs w:val="22"/>
        </w:rPr>
        <w:t>unless the student receives written permission from both instructors</w:t>
      </w:r>
      <w:r w:rsidRPr="007D5A94">
        <w:rPr>
          <w:sz w:val="22"/>
          <w:szCs w:val="22"/>
        </w:rPr>
        <w:t xml:space="preserve">.  All work for this course must be done by you.  Please avoid plagiarism!  If you ever have questions about plagiarism or proper citation methods, please consult me.  All cases of plagiarism will be referred to the Academic Integrity Officer of the School of </w:t>
      </w:r>
      <w:r>
        <w:rPr>
          <w:sz w:val="22"/>
          <w:szCs w:val="22"/>
        </w:rPr>
        <w:t>Humanities and Social Sciences</w:t>
      </w:r>
      <w:r w:rsidRPr="007D5A94">
        <w:rPr>
          <w:sz w:val="22"/>
          <w:szCs w:val="22"/>
        </w:rPr>
        <w:t>.  They will also result in a zero grade for the paper and/ or a failure in the course.</w:t>
      </w:r>
      <w:r w:rsidRPr="007D5A94">
        <w:rPr>
          <w:sz w:val="22"/>
          <w:szCs w:val="22"/>
        </w:rPr>
        <w:br/>
      </w:r>
      <w:r w:rsidRPr="007D5A94">
        <w:rPr>
          <w:sz w:val="22"/>
          <w:szCs w:val="22"/>
        </w:rPr>
        <w:br/>
      </w:r>
      <w:r w:rsidRPr="007D5A94">
        <w:rPr>
          <w:iCs/>
          <w:sz w:val="22"/>
        </w:rPr>
        <w:t xml:space="preserve">Academic dishonesty is any attempt by the student to gain academic advantage through dishonest means, to submit, as his or her own, </w:t>
      </w:r>
      <w:proofErr w:type="gramStart"/>
      <w:r w:rsidRPr="007D5A94">
        <w:rPr>
          <w:iCs/>
          <w:sz w:val="22"/>
        </w:rPr>
        <w:t>work which has not been done by him/her</w:t>
      </w:r>
      <w:proofErr w:type="gramEnd"/>
      <w:r w:rsidRPr="007D5A94">
        <w:rPr>
          <w:iCs/>
          <w:sz w:val="22"/>
        </w:rPr>
        <w:t xml:space="preserve"> or to give improper aid to another student in the completion of an assignment. Such dishonesty would include, but is not limited to: submitting as his/her own a project, paper, report, test, or speech copied from, partially copied, or paraphrased from the work of another (whether the source is printed, under copyright, or in manuscript form). Credit must be given for words quoted or paraphrased. The rules apply to any academic dishonesty, whether the work is graded or ungraded, group or individual, written or oral.</w:t>
      </w:r>
      <w:r>
        <w:rPr>
          <w:sz w:val="22"/>
        </w:rPr>
        <w:t xml:space="preserve"> </w:t>
      </w:r>
      <w:r w:rsidRPr="007D5A94">
        <w:rPr>
          <w:sz w:val="22"/>
        </w:rPr>
        <w:t xml:space="preserve">TCNJ’s academic integrity policy </w:t>
      </w:r>
      <w:r w:rsidRPr="007D5A94">
        <w:rPr>
          <w:iCs/>
          <w:sz w:val="22"/>
        </w:rPr>
        <w:t>is available on the web:</w:t>
      </w:r>
      <w:r w:rsidRPr="007D5A94">
        <w:rPr>
          <w:sz w:val="22"/>
        </w:rPr>
        <w:t xml:space="preserve"> </w:t>
      </w:r>
      <w:hyperlink r:id="rId8" w:history="1">
        <w:r w:rsidRPr="007D5A94">
          <w:rPr>
            <w:rStyle w:val="Hyperlink"/>
            <w:sz w:val="22"/>
          </w:rPr>
          <w:t>http://www.tcnj.edu/~academic/policy/integrity.html</w:t>
        </w:r>
      </w:hyperlink>
      <w:r w:rsidRPr="007D5A94">
        <w:rPr>
          <w:sz w:val="22"/>
        </w:rPr>
        <w:t xml:space="preserve">. </w:t>
      </w:r>
      <w:r w:rsidRPr="007D5A94">
        <w:rPr>
          <w:sz w:val="22"/>
          <w:szCs w:val="22"/>
        </w:rPr>
        <w:br/>
      </w:r>
    </w:p>
    <w:p w14:paraId="2732CCFE" w14:textId="3C15A046" w:rsidR="00C459FB" w:rsidRPr="001D6041" w:rsidRDefault="00C459FB" w:rsidP="00C459FB">
      <w:pPr>
        <w:numPr>
          <w:ilvl w:val="0"/>
          <w:numId w:val="1"/>
        </w:numPr>
        <w:tabs>
          <w:tab w:val="clear" w:pos="720"/>
          <w:tab w:val="num" w:pos="180"/>
        </w:tabs>
        <w:ind w:left="180" w:firstLine="0"/>
        <w:rPr>
          <w:sz w:val="22"/>
          <w:szCs w:val="22"/>
        </w:rPr>
      </w:pPr>
      <w:r w:rsidRPr="00B01929">
        <w:rPr>
          <w:sz w:val="22"/>
          <w:szCs w:val="22"/>
        </w:rPr>
        <w:t xml:space="preserve">The Academic Enhancement Center in </w:t>
      </w:r>
      <w:proofErr w:type="spellStart"/>
      <w:r w:rsidRPr="00B01929">
        <w:rPr>
          <w:sz w:val="22"/>
          <w:szCs w:val="22"/>
        </w:rPr>
        <w:t>Forcina</w:t>
      </w:r>
      <w:proofErr w:type="spellEnd"/>
      <w:r w:rsidRPr="00B01929">
        <w:rPr>
          <w:sz w:val="22"/>
          <w:szCs w:val="22"/>
        </w:rPr>
        <w:t xml:space="preserve"> Hall, room 145, is an excellent place to get help on your papers.  Call The Write</w:t>
      </w:r>
      <w:r>
        <w:rPr>
          <w:sz w:val="22"/>
          <w:szCs w:val="22"/>
        </w:rPr>
        <w:t>r's</w:t>
      </w:r>
      <w:r w:rsidRPr="00B01929">
        <w:rPr>
          <w:sz w:val="22"/>
          <w:szCs w:val="22"/>
        </w:rPr>
        <w:t xml:space="preserve"> Place at 771-2895 or 771-3325 or see the hours at </w:t>
      </w:r>
      <w:hyperlink r:id="rId9" w:history="1">
        <w:r w:rsidRPr="0035176B">
          <w:rPr>
            <w:rStyle w:val="Hyperlink"/>
            <w:sz w:val="22"/>
            <w:szCs w:val="22"/>
          </w:rPr>
          <w:t>http://www.tcnj.edu/~tutoring/humanities/writing.html</w:t>
        </w:r>
      </w:hyperlink>
      <w:r>
        <w:rPr>
          <w:sz w:val="22"/>
          <w:szCs w:val="22"/>
        </w:rPr>
        <w:t>.</w:t>
      </w:r>
    </w:p>
    <w:p w14:paraId="62EEE870" w14:textId="41B19B15" w:rsidR="00C459FB" w:rsidRDefault="00C459FB" w:rsidP="00C459FB">
      <w:pPr>
        <w:rPr>
          <w:sz w:val="22"/>
          <w:szCs w:val="22"/>
        </w:rPr>
      </w:pPr>
    </w:p>
    <w:p w14:paraId="70939813" w14:textId="6C0C80F6" w:rsidR="00C459FB" w:rsidRDefault="00C459FB" w:rsidP="0086178B">
      <w:pPr>
        <w:numPr>
          <w:ilvl w:val="0"/>
          <w:numId w:val="1"/>
        </w:numPr>
        <w:tabs>
          <w:tab w:val="clear" w:pos="720"/>
          <w:tab w:val="num" w:pos="180"/>
        </w:tabs>
        <w:ind w:left="180" w:firstLine="0"/>
        <w:rPr>
          <w:sz w:val="22"/>
          <w:szCs w:val="22"/>
        </w:rPr>
      </w:pPr>
      <w:r w:rsidRPr="007D5A94">
        <w:rPr>
          <w:bCs/>
          <w:sz w:val="22"/>
        </w:rPr>
        <w:t>Any student who has a documented disability and is in need of academic accommodations should notify the professor of this course and contact the Office of Differing Abilities Services (609-771-2571). Accommodations are individualized and in accordance with Section 504 of the Rehabilitation Act of 1973 and the Americans with Disabilities Act of 1992.</w:t>
      </w:r>
      <w:r w:rsidRPr="007D5A94">
        <w:rPr>
          <w:sz w:val="22"/>
          <w:szCs w:val="22"/>
        </w:rPr>
        <w:t xml:space="preserve"> </w:t>
      </w:r>
      <w:r w:rsidRPr="007D5A94">
        <w:rPr>
          <w:iCs/>
          <w:sz w:val="22"/>
        </w:rPr>
        <w:t xml:space="preserve">TCNJ’s Americans </w:t>
      </w:r>
      <w:r w:rsidRPr="007D5A94">
        <w:rPr>
          <w:iCs/>
          <w:sz w:val="22"/>
        </w:rPr>
        <w:lastRenderedPageBreak/>
        <w:t xml:space="preserve">with Disabilities Act (ADA) policy is available on the web: </w:t>
      </w:r>
      <w:r w:rsidR="00102AFA">
        <w:fldChar w:fldCharType="begin"/>
      </w:r>
      <w:r w:rsidR="00102AFA">
        <w:instrText xml:space="preserve"> HYPERLINK "http://differingabilities.pages.tcnj.edu/" \t "_</w:instrText>
      </w:r>
      <w:r w:rsidR="00102AFA">
        <w:instrText xml:space="preserve">blank" </w:instrText>
      </w:r>
      <w:r w:rsidR="00102AFA">
        <w:fldChar w:fldCharType="separate"/>
      </w:r>
      <w:r w:rsidRPr="007D5A94">
        <w:rPr>
          <w:rStyle w:val="Hyperlink"/>
          <w:iCs/>
          <w:sz w:val="22"/>
        </w:rPr>
        <w:t>http://differingabilities.pages.tcnj.edu/</w:t>
      </w:r>
      <w:r w:rsidR="00102AFA">
        <w:rPr>
          <w:rStyle w:val="Hyperlink"/>
          <w:iCs/>
          <w:sz w:val="22"/>
        </w:rPr>
        <w:fldChar w:fldCharType="end"/>
      </w:r>
      <w:r w:rsidRPr="007D5A94">
        <w:rPr>
          <w:iCs/>
          <w:sz w:val="22"/>
        </w:rPr>
        <w:t xml:space="preserve">. </w:t>
      </w:r>
    </w:p>
    <w:p w14:paraId="36BC3B8E" w14:textId="77777777" w:rsidR="0086178B" w:rsidRPr="006819F4" w:rsidRDefault="0086178B" w:rsidP="0086178B">
      <w:pPr>
        <w:rPr>
          <w:sz w:val="22"/>
          <w:szCs w:val="22"/>
        </w:rPr>
      </w:pPr>
    </w:p>
    <w:p w14:paraId="06BAF5F2" w14:textId="77777777" w:rsidR="00C459FB" w:rsidRDefault="00C459FB" w:rsidP="00C459FB">
      <w:pPr>
        <w:numPr>
          <w:ilvl w:val="0"/>
          <w:numId w:val="1"/>
        </w:numPr>
        <w:tabs>
          <w:tab w:val="clear" w:pos="720"/>
          <w:tab w:val="num" w:pos="180"/>
        </w:tabs>
        <w:ind w:left="180" w:firstLine="0"/>
        <w:rPr>
          <w:sz w:val="22"/>
        </w:rPr>
      </w:pPr>
      <w:r>
        <w:rPr>
          <w:sz w:val="22"/>
        </w:rPr>
        <w:t>The breakdown in grading percentages is:</w:t>
      </w:r>
    </w:p>
    <w:p w14:paraId="4D79F1DF" w14:textId="77777777" w:rsidR="00C459FB" w:rsidRDefault="00C459FB" w:rsidP="00C459FB">
      <w:pPr>
        <w:tabs>
          <w:tab w:val="num" w:pos="180"/>
        </w:tabs>
        <w:ind w:left="180"/>
        <w:rPr>
          <w:sz w:val="22"/>
        </w:rPr>
      </w:pPr>
    </w:p>
    <w:p w14:paraId="5A40E83E" w14:textId="3EF09000" w:rsidR="00C459FB" w:rsidRDefault="00496D70" w:rsidP="00C459FB">
      <w:pPr>
        <w:tabs>
          <w:tab w:val="num" w:pos="360"/>
        </w:tabs>
        <w:ind w:left="360"/>
        <w:rPr>
          <w:sz w:val="22"/>
          <w:szCs w:val="22"/>
        </w:rPr>
      </w:pPr>
      <w:r>
        <w:rPr>
          <w:sz w:val="22"/>
          <w:szCs w:val="22"/>
        </w:rPr>
        <w:t>5</w:t>
      </w:r>
      <w:r w:rsidR="00C459FB">
        <w:rPr>
          <w:sz w:val="22"/>
          <w:szCs w:val="22"/>
        </w:rPr>
        <w:t>%</w:t>
      </w:r>
      <w:r w:rsidR="00C459FB">
        <w:rPr>
          <w:sz w:val="22"/>
          <w:szCs w:val="22"/>
        </w:rPr>
        <w:tab/>
      </w:r>
      <w:r>
        <w:rPr>
          <w:sz w:val="22"/>
          <w:szCs w:val="22"/>
        </w:rPr>
        <w:tab/>
      </w:r>
      <w:r w:rsidR="006819F4">
        <w:rPr>
          <w:sz w:val="22"/>
          <w:szCs w:val="22"/>
        </w:rPr>
        <w:t>Artifact</w:t>
      </w:r>
      <w:r>
        <w:rPr>
          <w:sz w:val="22"/>
          <w:szCs w:val="22"/>
        </w:rPr>
        <w:t xml:space="preserve"> paper #1</w:t>
      </w:r>
      <w:r w:rsidR="00C459FB" w:rsidRPr="00B115B5">
        <w:rPr>
          <w:sz w:val="22"/>
          <w:szCs w:val="22"/>
        </w:rPr>
        <w:t xml:space="preserve"> </w:t>
      </w:r>
    </w:p>
    <w:p w14:paraId="1232371E" w14:textId="75498180" w:rsidR="00496D70" w:rsidRPr="00B115B5" w:rsidRDefault="00496D70" w:rsidP="00C459FB">
      <w:pPr>
        <w:tabs>
          <w:tab w:val="num" w:pos="360"/>
        </w:tabs>
        <w:ind w:left="360"/>
        <w:rPr>
          <w:sz w:val="22"/>
          <w:szCs w:val="22"/>
        </w:rPr>
      </w:pPr>
      <w:r>
        <w:rPr>
          <w:sz w:val="22"/>
          <w:szCs w:val="22"/>
        </w:rPr>
        <w:t>30%</w:t>
      </w:r>
      <w:r>
        <w:rPr>
          <w:sz w:val="22"/>
          <w:szCs w:val="22"/>
        </w:rPr>
        <w:tab/>
      </w:r>
      <w:r w:rsidR="006819F4">
        <w:rPr>
          <w:sz w:val="22"/>
          <w:szCs w:val="22"/>
        </w:rPr>
        <w:t>Artifact</w:t>
      </w:r>
      <w:r>
        <w:rPr>
          <w:sz w:val="22"/>
          <w:szCs w:val="22"/>
        </w:rPr>
        <w:t xml:space="preserve"> papers #2-</w:t>
      </w:r>
      <w:r w:rsidR="006819F4">
        <w:rPr>
          <w:sz w:val="22"/>
          <w:szCs w:val="22"/>
        </w:rPr>
        <w:t>#</w:t>
      </w:r>
      <w:r>
        <w:rPr>
          <w:sz w:val="22"/>
          <w:szCs w:val="22"/>
        </w:rPr>
        <w:t>4</w:t>
      </w:r>
    </w:p>
    <w:p w14:paraId="071A8731" w14:textId="56FE8645" w:rsidR="00C459FB" w:rsidRDefault="00BB2A54" w:rsidP="00C459FB">
      <w:pPr>
        <w:tabs>
          <w:tab w:val="num" w:pos="360"/>
        </w:tabs>
        <w:ind w:left="360"/>
        <w:rPr>
          <w:sz w:val="22"/>
          <w:szCs w:val="22"/>
        </w:rPr>
      </w:pPr>
      <w:r>
        <w:rPr>
          <w:sz w:val="22"/>
          <w:szCs w:val="22"/>
        </w:rPr>
        <w:t>7.5</w:t>
      </w:r>
      <w:r w:rsidR="00C459FB" w:rsidRPr="00B115B5">
        <w:rPr>
          <w:sz w:val="22"/>
          <w:szCs w:val="22"/>
        </w:rPr>
        <w:t>%</w:t>
      </w:r>
      <w:r w:rsidR="00C459FB" w:rsidRPr="00B115B5">
        <w:rPr>
          <w:sz w:val="22"/>
          <w:szCs w:val="22"/>
        </w:rPr>
        <w:tab/>
      </w:r>
      <w:r w:rsidR="00496D70">
        <w:rPr>
          <w:sz w:val="22"/>
          <w:szCs w:val="22"/>
        </w:rPr>
        <w:t>Presentation</w:t>
      </w:r>
      <w:r w:rsidR="00C459FB" w:rsidRPr="00B115B5">
        <w:rPr>
          <w:sz w:val="22"/>
          <w:szCs w:val="22"/>
        </w:rPr>
        <w:t xml:space="preserve"> </w:t>
      </w:r>
      <w:r w:rsidR="00496D70">
        <w:rPr>
          <w:sz w:val="22"/>
          <w:szCs w:val="22"/>
        </w:rPr>
        <w:t>#1</w:t>
      </w:r>
    </w:p>
    <w:p w14:paraId="02E7733C" w14:textId="423D2DFA" w:rsidR="00560E70" w:rsidRDefault="00BB2A54" w:rsidP="00C459FB">
      <w:pPr>
        <w:tabs>
          <w:tab w:val="num" w:pos="360"/>
        </w:tabs>
        <w:ind w:left="360"/>
        <w:rPr>
          <w:sz w:val="22"/>
          <w:szCs w:val="22"/>
        </w:rPr>
      </w:pPr>
      <w:r>
        <w:rPr>
          <w:sz w:val="22"/>
          <w:szCs w:val="22"/>
        </w:rPr>
        <w:t>7.5%</w:t>
      </w:r>
      <w:r>
        <w:rPr>
          <w:sz w:val="22"/>
          <w:szCs w:val="22"/>
        </w:rPr>
        <w:tab/>
      </w:r>
      <w:r w:rsidR="00496D70">
        <w:rPr>
          <w:sz w:val="22"/>
          <w:szCs w:val="22"/>
        </w:rPr>
        <w:t>Presentation #2</w:t>
      </w:r>
    </w:p>
    <w:p w14:paraId="4C6F5FC0" w14:textId="644A6DBD" w:rsidR="00C459FB" w:rsidRDefault="00BB2A54" w:rsidP="00C459FB">
      <w:pPr>
        <w:tabs>
          <w:tab w:val="num" w:pos="360"/>
        </w:tabs>
        <w:ind w:left="360"/>
        <w:rPr>
          <w:sz w:val="22"/>
          <w:szCs w:val="22"/>
        </w:rPr>
      </w:pPr>
      <w:r>
        <w:rPr>
          <w:sz w:val="22"/>
          <w:szCs w:val="22"/>
        </w:rPr>
        <w:t>35</w:t>
      </w:r>
      <w:r w:rsidR="00496D70">
        <w:rPr>
          <w:sz w:val="22"/>
          <w:szCs w:val="22"/>
        </w:rPr>
        <w:t>%</w:t>
      </w:r>
      <w:r w:rsidR="00C459FB" w:rsidRPr="00B115B5">
        <w:rPr>
          <w:sz w:val="22"/>
          <w:szCs w:val="22"/>
        </w:rPr>
        <w:tab/>
      </w:r>
      <w:r w:rsidR="00496D70">
        <w:rPr>
          <w:sz w:val="22"/>
          <w:szCs w:val="22"/>
        </w:rPr>
        <w:t>Final Paper</w:t>
      </w:r>
      <w:r w:rsidR="00C459FB" w:rsidRPr="00B115B5">
        <w:rPr>
          <w:sz w:val="22"/>
          <w:szCs w:val="22"/>
        </w:rPr>
        <w:t xml:space="preserve"> </w:t>
      </w:r>
      <w:r w:rsidR="00191835">
        <w:rPr>
          <w:sz w:val="22"/>
          <w:szCs w:val="22"/>
        </w:rPr>
        <w:t>(including proposal and annotated bibliography)</w:t>
      </w:r>
    </w:p>
    <w:p w14:paraId="5CC8E49F" w14:textId="53C69312" w:rsidR="00C459FB" w:rsidRPr="00B115B5" w:rsidRDefault="00C459FB" w:rsidP="00C459FB">
      <w:pPr>
        <w:tabs>
          <w:tab w:val="num" w:pos="360"/>
        </w:tabs>
        <w:ind w:left="360"/>
        <w:rPr>
          <w:sz w:val="22"/>
          <w:szCs w:val="22"/>
          <w:u w:val="single"/>
        </w:rPr>
      </w:pPr>
      <w:r w:rsidRPr="00B115B5">
        <w:rPr>
          <w:sz w:val="22"/>
          <w:szCs w:val="22"/>
          <w:u w:val="single"/>
        </w:rPr>
        <w:t>1</w:t>
      </w:r>
      <w:r w:rsidR="00BB2A54">
        <w:rPr>
          <w:sz w:val="22"/>
          <w:szCs w:val="22"/>
          <w:u w:val="single"/>
        </w:rPr>
        <w:t>5</w:t>
      </w:r>
      <w:r w:rsidRPr="00B115B5">
        <w:rPr>
          <w:sz w:val="22"/>
          <w:szCs w:val="22"/>
          <w:u w:val="single"/>
        </w:rPr>
        <w:t>%</w:t>
      </w:r>
      <w:r w:rsidRPr="00B115B5">
        <w:rPr>
          <w:sz w:val="22"/>
          <w:szCs w:val="22"/>
          <w:u w:val="single"/>
        </w:rPr>
        <w:tab/>
      </w:r>
      <w:r w:rsidR="00BB2A54">
        <w:rPr>
          <w:sz w:val="22"/>
          <w:szCs w:val="22"/>
          <w:u w:val="single"/>
        </w:rPr>
        <w:t>Class Involvement</w:t>
      </w:r>
    </w:p>
    <w:p w14:paraId="21F79682" w14:textId="77777777" w:rsidR="00C459FB" w:rsidRPr="00B115B5" w:rsidRDefault="00C459FB" w:rsidP="00C459FB">
      <w:pPr>
        <w:tabs>
          <w:tab w:val="num" w:pos="360"/>
        </w:tabs>
        <w:ind w:left="360"/>
        <w:rPr>
          <w:b/>
          <w:sz w:val="22"/>
          <w:szCs w:val="22"/>
          <w:u w:val="single"/>
        </w:rPr>
      </w:pPr>
    </w:p>
    <w:p w14:paraId="3255BE89" w14:textId="77777777" w:rsidR="00C459FB" w:rsidRDefault="00C459FB" w:rsidP="00C459FB">
      <w:pPr>
        <w:tabs>
          <w:tab w:val="num" w:pos="360"/>
        </w:tabs>
        <w:ind w:left="360"/>
        <w:rPr>
          <w:sz w:val="22"/>
          <w:szCs w:val="22"/>
        </w:rPr>
      </w:pPr>
      <w:r>
        <w:rPr>
          <w:sz w:val="22"/>
          <w:szCs w:val="22"/>
        </w:rPr>
        <w:t>100%</w:t>
      </w:r>
      <w:r>
        <w:rPr>
          <w:sz w:val="22"/>
          <w:szCs w:val="22"/>
        </w:rPr>
        <w:tab/>
        <w:t xml:space="preserve"> Total</w:t>
      </w:r>
      <w:r>
        <w:rPr>
          <w:sz w:val="22"/>
          <w:szCs w:val="22"/>
        </w:rPr>
        <w:br/>
      </w:r>
    </w:p>
    <w:p w14:paraId="1E7B6849" w14:textId="1FF9F381" w:rsidR="00C459FB" w:rsidRPr="00793D31" w:rsidRDefault="00C459FB" w:rsidP="00C459FB">
      <w:pPr>
        <w:tabs>
          <w:tab w:val="num" w:pos="180"/>
        </w:tabs>
        <w:ind w:left="180"/>
        <w:rPr>
          <w:sz w:val="22"/>
          <w:szCs w:val="22"/>
        </w:rPr>
      </w:pPr>
      <w:r>
        <w:rPr>
          <w:sz w:val="22"/>
          <w:szCs w:val="22"/>
        </w:rPr>
        <w:t xml:space="preserve">10)  </w:t>
      </w:r>
      <w:r w:rsidR="006819F4">
        <w:rPr>
          <w:sz w:val="22"/>
          <w:szCs w:val="22"/>
        </w:rPr>
        <w:tab/>
      </w:r>
      <w:r>
        <w:rPr>
          <w:sz w:val="22"/>
          <w:szCs w:val="22"/>
        </w:rPr>
        <w:t>The grading scale in this course incorporates the principle of “rounding up,” so further adjustments will not be made:</w:t>
      </w:r>
    </w:p>
    <w:p w14:paraId="7F5C7C2D" w14:textId="77777777" w:rsidR="00C459FB" w:rsidRDefault="00C459FB" w:rsidP="00C459FB">
      <w:pPr>
        <w:tabs>
          <w:tab w:val="num" w:pos="180"/>
        </w:tabs>
        <w:ind w:left="180" w:right="-396"/>
        <w:rPr>
          <w:sz w:val="22"/>
          <w:szCs w:val="22"/>
        </w:rPr>
      </w:pPr>
    </w:p>
    <w:tbl>
      <w:tblPr>
        <w:tblW w:w="7665" w:type="dxa"/>
        <w:tblCellSpacing w:w="15" w:type="dxa"/>
        <w:tblLook w:val="04A0" w:firstRow="1" w:lastRow="0" w:firstColumn="1" w:lastColumn="0" w:noHBand="0" w:noVBand="1"/>
      </w:tblPr>
      <w:tblGrid>
        <w:gridCol w:w="4038"/>
        <w:gridCol w:w="3627"/>
      </w:tblGrid>
      <w:tr w:rsidR="00C459FB" w:rsidRPr="00712D20" w14:paraId="46F0FB1F" w14:textId="77777777" w:rsidTr="00E86FFF">
        <w:trPr>
          <w:trHeight w:val="1305"/>
          <w:tblCellSpacing w:w="15" w:type="dxa"/>
        </w:trPr>
        <w:tc>
          <w:tcPr>
            <w:tcW w:w="3930" w:type="dxa"/>
            <w:tcMar>
              <w:top w:w="15" w:type="dxa"/>
              <w:left w:w="15" w:type="dxa"/>
              <w:bottom w:w="15" w:type="dxa"/>
              <w:right w:w="15" w:type="dxa"/>
            </w:tcMar>
            <w:vAlign w:val="center"/>
            <w:hideMark/>
          </w:tcPr>
          <w:p w14:paraId="1A14CB60" w14:textId="77777777" w:rsidR="00C459FB" w:rsidRPr="00437BBC" w:rsidRDefault="00C459FB" w:rsidP="00E86FFF">
            <w:pPr>
              <w:tabs>
                <w:tab w:val="num" w:pos="360"/>
              </w:tabs>
              <w:ind w:left="360" w:right="-396"/>
              <w:rPr>
                <w:sz w:val="20"/>
              </w:rPr>
            </w:pPr>
            <w:r w:rsidRPr="00437BBC">
              <w:rPr>
                <w:sz w:val="20"/>
              </w:rPr>
              <w:t>100 - 93.5 % = A </w:t>
            </w:r>
            <w:r w:rsidRPr="00437BBC">
              <w:rPr>
                <w:sz w:val="20"/>
              </w:rPr>
              <w:br/>
              <w:t>93.4 - 89.5 %  = A- </w:t>
            </w:r>
            <w:r w:rsidRPr="00437BBC">
              <w:rPr>
                <w:sz w:val="20"/>
              </w:rPr>
              <w:br/>
              <w:t>89.4 - 86.5 % = B+ </w:t>
            </w:r>
            <w:r w:rsidRPr="00437BBC">
              <w:rPr>
                <w:sz w:val="20"/>
              </w:rPr>
              <w:br/>
              <w:t>86.4 - 83.5 % = B </w:t>
            </w:r>
            <w:r w:rsidRPr="00437BBC">
              <w:rPr>
                <w:sz w:val="20"/>
              </w:rPr>
              <w:br/>
              <w:t xml:space="preserve">83.4 - 79.5 % = B- </w:t>
            </w:r>
          </w:p>
        </w:tc>
        <w:tc>
          <w:tcPr>
            <w:tcW w:w="3525" w:type="dxa"/>
            <w:tcMar>
              <w:top w:w="15" w:type="dxa"/>
              <w:left w:w="15" w:type="dxa"/>
              <w:bottom w:w="15" w:type="dxa"/>
              <w:right w:w="15" w:type="dxa"/>
            </w:tcMar>
            <w:vAlign w:val="center"/>
            <w:hideMark/>
          </w:tcPr>
          <w:p w14:paraId="2ACAF3A0" w14:textId="77777777" w:rsidR="00C459FB" w:rsidRPr="00437BBC" w:rsidRDefault="00C459FB" w:rsidP="00E86FFF">
            <w:pPr>
              <w:tabs>
                <w:tab w:val="num" w:pos="360"/>
              </w:tabs>
              <w:ind w:left="360" w:right="-396"/>
              <w:rPr>
                <w:sz w:val="20"/>
              </w:rPr>
            </w:pPr>
            <w:r w:rsidRPr="00437BBC">
              <w:rPr>
                <w:sz w:val="20"/>
              </w:rPr>
              <w:t>79.4 - 76.5 % = C+ </w:t>
            </w:r>
            <w:r w:rsidRPr="00437BBC">
              <w:rPr>
                <w:sz w:val="20"/>
              </w:rPr>
              <w:br/>
              <w:t>76.4 - 73.5 % = C </w:t>
            </w:r>
            <w:r w:rsidRPr="00437BBC">
              <w:rPr>
                <w:sz w:val="20"/>
              </w:rPr>
              <w:br/>
              <w:t>73.4 - 69.5 % = C- </w:t>
            </w:r>
            <w:r w:rsidRPr="00437BBC">
              <w:rPr>
                <w:sz w:val="20"/>
              </w:rPr>
              <w:br/>
              <w:t xml:space="preserve">69.4 </w:t>
            </w:r>
            <w:r>
              <w:rPr>
                <w:sz w:val="20"/>
              </w:rPr>
              <w:t>–</w:t>
            </w:r>
            <w:r w:rsidRPr="00437BBC">
              <w:rPr>
                <w:sz w:val="20"/>
              </w:rPr>
              <w:t xml:space="preserve"> </w:t>
            </w:r>
            <w:r>
              <w:rPr>
                <w:sz w:val="20"/>
              </w:rPr>
              <w:t>64.5</w:t>
            </w:r>
            <w:r w:rsidRPr="00437BBC">
              <w:rPr>
                <w:sz w:val="20"/>
              </w:rPr>
              <w:t xml:space="preserve"> % = D </w:t>
            </w:r>
            <w:r w:rsidRPr="00437BBC">
              <w:rPr>
                <w:sz w:val="20"/>
              </w:rPr>
              <w:br/>
            </w:r>
            <w:r>
              <w:rPr>
                <w:sz w:val="20"/>
              </w:rPr>
              <w:t>64.4-0</w:t>
            </w:r>
            <w:r w:rsidRPr="00437BBC">
              <w:rPr>
                <w:sz w:val="20"/>
              </w:rPr>
              <w:t xml:space="preserve"> % = F </w:t>
            </w:r>
          </w:p>
        </w:tc>
      </w:tr>
    </w:tbl>
    <w:p w14:paraId="25DE9E5E" w14:textId="77777777" w:rsidR="00C459FB" w:rsidRPr="00E53E5B" w:rsidRDefault="00C459FB" w:rsidP="00C459FB">
      <w:pPr>
        <w:tabs>
          <w:tab w:val="num" w:pos="180"/>
        </w:tabs>
        <w:ind w:left="180"/>
        <w:rPr>
          <w:sz w:val="22"/>
          <w:szCs w:val="22"/>
        </w:rPr>
      </w:pPr>
    </w:p>
    <w:p w14:paraId="613BBF14" w14:textId="28400685" w:rsidR="009E08B4" w:rsidRDefault="006819F4" w:rsidP="009E08B4">
      <w:pPr>
        <w:tabs>
          <w:tab w:val="num" w:pos="180"/>
        </w:tabs>
        <w:ind w:left="180"/>
        <w:rPr>
          <w:sz w:val="22"/>
          <w:szCs w:val="22"/>
        </w:rPr>
      </w:pPr>
      <w:r>
        <w:rPr>
          <w:sz w:val="22"/>
          <w:szCs w:val="22"/>
        </w:rPr>
        <w:t>11</w:t>
      </w:r>
      <w:r w:rsidR="009E08B4">
        <w:rPr>
          <w:sz w:val="22"/>
          <w:szCs w:val="22"/>
        </w:rPr>
        <w:t xml:space="preserve">)  </w:t>
      </w:r>
      <w:r w:rsidR="009E08B4">
        <w:rPr>
          <w:sz w:val="22"/>
          <w:szCs w:val="22"/>
        </w:rPr>
        <w:tab/>
        <w:t xml:space="preserve">A syllabus is a plan not a contract.  While we will make every effort to follow this schedule, I reserve the right to alter the due dates of assignments, to clarify and modify the nature and length of assignments, and to include unannounced assessments in order to meet the educational goals of this course.  </w:t>
      </w:r>
    </w:p>
    <w:p w14:paraId="4C1E3B21" w14:textId="77777777" w:rsidR="009E08B4" w:rsidRDefault="009E08B4" w:rsidP="009E08B4">
      <w:pPr>
        <w:tabs>
          <w:tab w:val="num" w:pos="180"/>
        </w:tabs>
        <w:ind w:left="180"/>
        <w:rPr>
          <w:sz w:val="22"/>
          <w:szCs w:val="22"/>
        </w:rPr>
      </w:pPr>
    </w:p>
    <w:p w14:paraId="3ECF4B29" w14:textId="29BD8C78" w:rsidR="009E08B4" w:rsidRDefault="006819F4" w:rsidP="009E08B4">
      <w:pPr>
        <w:tabs>
          <w:tab w:val="num" w:pos="180"/>
        </w:tabs>
        <w:ind w:left="180"/>
        <w:rPr>
          <w:sz w:val="22"/>
          <w:szCs w:val="22"/>
        </w:rPr>
      </w:pPr>
      <w:r>
        <w:rPr>
          <w:sz w:val="22"/>
          <w:szCs w:val="22"/>
        </w:rPr>
        <w:t>12</w:t>
      </w:r>
      <w:r w:rsidR="00A52995">
        <w:rPr>
          <w:sz w:val="22"/>
          <w:szCs w:val="22"/>
        </w:rPr>
        <w:t>) Whether literature, art, music, or film, cultural expressions gains</w:t>
      </w:r>
      <w:r w:rsidR="009E08B4">
        <w:rPr>
          <w:sz w:val="22"/>
          <w:szCs w:val="22"/>
        </w:rPr>
        <w:t xml:space="preserve"> some of </w:t>
      </w:r>
      <w:r w:rsidR="00A52995">
        <w:rPr>
          <w:sz w:val="22"/>
          <w:szCs w:val="22"/>
        </w:rPr>
        <w:t>its</w:t>
      </w:r>
      <w:r w:rsidR="009E08B4">
        <w:rPr>
          <w:sz w:val="22"/>
          <w:szCs w:val="22"/>
        </w:rPr>
        <w:t xml:space="preserve"> power from its ability to explore the extremes of human relationships.  The writers</w:t>
      </w:r>
      <w:r w:rsidR="00A52995">
        <w:rPr>
          <w:sz w:val="22"/>
          <w:szCs w:val="22"/>
        </w:rPr>
        <w:t xml:space="preserve"> and thinkers</w:t>
      </w:r>
      <w:r w:rsidR="009E08B4">
        <w:rPr>
          <w:sz w:val="22"/>
          <w:szCs w:val="22"/>
        </w:rPr>
        <w:t xml:space="preserve"> in this course address a wide range of experiences that range from the reflective to the traumatic and from the socially acceptable to the morally grotesque.  If you are anxious about your personal response to these </w:t>
      </w:r>
      <w:r w:rsidR="00A52995">
        <w:rPr>
          <w:sz w:val="22"/>
          <w:szCs w:val="22"/>
        </w:rPr>
        <w:t>works</w:t>
      </w:r>
      <w:r w:rsidR="009E08B4">
        <w:rPr>
          <w:sz w:val="22"/>
          <w:szCs w:val="22"/>
        </w:rPr>
        <w:t>, you should consider whether this course is appropriate for you.   My expectation is that every student will complete every one of the assigned readings and be prepared to listen to discussions about them in class.</w:t>
      </w:r>
    </w:p>
    <w:p w14:paraId="31834C7F" w14:textId="77777777" w:rsidR="009E08B4" w:rsidRDefault="009E08B4" w:rsidP="00C459FB">
      <w:pPr>
        <w:tabs>
          <w:tab w:val="num" w:pos="180"/>
        </w:tabs>
        <w:ind w:left="180"/>
        <w:rPr>
          <w:sz w:val="22"/>
        </w:rPr>
      </w:pPr>
    </w:p>
    <w:p w14:paraId="686E4846" w14:textId="2E15FAEF" w:rsidR="00C459FB" w:rsidRPr="00EE5D5D" w:rsidRDefault="006819F4" w:rsidP="00C459FB">
      <w:pPr>
        <w:tabs>
          <w:tab w:val="num" w:pos="180"/>
        </w:tabs>
        <w:ind w:left="180"/>
        <w:rPr>
          <w:sz w:val="22"/>
          <w:szCs w:val="22"/>
        </w:rPr>
      </w:pPr>
      <w:r>
        <w:rPr>
          <w:sz w:val="22"/>
        </w:rPr>
        <w:t>13</w:t>
      </w:r>
      <w:r w:rsidR="00C459FB">
        <w:rPr>
          <w:sz w:val="22"/>
        </w:rPr>
        <w:t xml:space="preserve">)  Please feel free to come by my office if you have questions you’d like to ask about the class.  The best way to contact me is by e-mail – </w:t>
      </w:r>
      <w:hyperlink r:id="rId10" w:history="1">
        <w:r w:rsidR="00C459FB">
          <w:rPr>
            <w:rStyle w:val="Hyperlink"/>
            <w:sz w:val="22"/>
          </w:rPr>
          <w:t>blake@tcnj.edu</w:t>
        </w:r>
      </w:hyperlink>
      <w:r w:rsidR="00C459FB">
        <w:rPr>
          <w:rStyle w:val="Hyperlink"/>
          <w:sz w:val="22"/>
        </w:rPr>
        <w:t>.</w:t>
      </w:r>
      <w:r w:rsidR="00C459FB">
        <w:rPr>
          <w:sz w:val="22"/>
        </w:rPr>
        <w:t xml:space="preserve">  I check my mail regularly and expect you to do the same.</w:t>
      </w:r>
    </w:p>
    <w:p w14:paraId="27175100" w14:textId="77777777" w:rsidR="0026124A" w:rsidRDefault="0026124A" w:rsidP="005E6334"/>
    <w:p w14:paraId="448B29FE" w14:textId="77777777" w:rsidR="0026124A" w:rsidRDefault="0026124A" w:rsidP="005E6334"/>
    <w:p w14:paraId="0E5F2788" w14:textId="1D00B8B1" w:rsidR="00C459FB" w:rsidRDefault="00C459FB" w:rsidP="00C459FB">
      <w:pPr>
        <w:jc w:val="center"/>
        <w:rPr>
          <w:b/>
          <w:sz w:val="22"/>
          <w:lang w:val="en-CA"/>
        </w:rPr>
      </w:pPr>
      <w:r>
        <w:rPr>
          <w:b/>
          <w:sz w:val="22"/>
          <w:lang w:val="en-CA"/>
        </w:rPr>
        <w:br w:type="page"/>
      </w:r>
      <w:r w:rsidR="009E08B4">
        <w:rPr>
          <w:b/>
          <w:sz w:val="22"/>
          <w:lang w:val="en-CA"/>
        </w:rPr>
        <w:lastRenderedPageBreak/>
        <w:t xml:space="preserve">HNR 310/ </w:t>
      </w:r>
      <w:r>
        <w:rPr>
          <w:b/>
          <w:sz w:val="22"/>
          <w:lang w:val="en-CA"/>
        </w:rPr>
        <w:t xml:space="preserve">LIT </w:t>
      </w:r>
      <w:r w:rsidR="0026124A">
        <w:rPr>
          <w:b/>
          <w:sz w:val="22"/>
          <w:lang w:val="en-CA"/>
        </w:rPr>
        <w:t>370</w:t>
      </w:r>
      <w:r>
        <w:rPr>
          <w:b/>
          <w:sz w:val="22"/>
          <w:lang w:val="en-CA"/>
        </w:rPr>
        <w:t xml:space="preserve">/ </w:t>
      </w:r>
      <w:r w:rsidR="009E08B4">
        <w:rPr>
          <w:b/>
          <w:sz w:val="22"/>
          <w:lang w:val="en-CA"/>
        </w:rPr>
        <w:t>USA 310: Recovering the 1950s</w:t>
      </w:r>
      <w:r>
        <w:rPr>
          <w:b/>
          <w:sz w:val="22"/>
          <w:lang w:val="en-CA"/>
        </w:rPr>
        <w:t>, Spring 2014</w:t>
      </w:r>
    </w:p>
    <w:p w14:paraId="737C3C6F" w14:textId="77777777" w:rsidR="00C459FB" w:rsidRDefault="00C459FB" w:rsidP="00C459FB">
      <w:pPr>
        <w:jc w:val="center"/>
        <w:rPr>
          <w:b/>
          <w:sz w:val="22"/>
          <w:lang w:val="en-CA"/>
        </w:rPr>
      </w:pPr>
      <w:r>
        <w:rPr>
          <w:b/>
          <w:sz w:val="22"/>
          <w:lang w:val="en-CA"/>
        </w:rPr>
        <w:t>Department, School, and College Goals and Policies</w:t>
      </w:r>
    </w:p>
    <w:p w14:paraId="002758BA" w14:textId="77777777" w:rsidR="00C459FB" w:rsidRDefault="00C459FB" w:rsidP="00C459FB">
      <w:pPr>
        <w:jc w:val="both"/>
        <w:rPr>
          <w:sz w:val="22"/>
        </w:rPr>
      </w:pPr>
    </w:p>
    <w:p w14:paraId="78950F54" w14:textId="4392C74E" w:rsidR="00C459FB" w:rsidRPr="0015793B" w:rsidRDefault="00C459FB" w:rsidP="00C459FB">
      <w:pPr>
        <w:jc w:val="both"/>
        <w:rPr>
          <w:sz w:val="22"/>
          <w:szCs w:val="22"/>
        </w:rPr>
      </w:pPr>
      <w:r w:rsidRPr="0015793B">
        <w:rPr>
          <w:sz w:val="22"/>
          <w:szCs w:val="22"/>
        </w:rPr>
        <w:t xml:space="preserve">1) </w:t>
      </w:r>
      <w:r w:rsidR="0015793B">
        <w:rPr>
          <w:sz w:val="22"/>
          <w:szCs w:val="22"/>
        </w:rPr>
        <w:t xml:space="preserve">As an elective </w:t>
      </w:r>
      <w:r w:rsidR="0026124A" w:rsidRPr="0015793B">
        <w:rPr>
          <w:sz w:val="22"/>
          <w:szCs w:val="22"/>
        </w:rPr>
        <w:t xml:space="preserve">course in </w:t>
      </w:r>
      <w:r w:rsidRPr="0015793B">
        <w:rPr>
          <w:sz w:val="22"/>
          <w:szCs w:val="22"/>
        </w:rPr>
        <w:t xml:space="preserve">the English major, LIT </w:t>
      </w:r>
      <w:r w:rsidR="0026124A" w:rsidRPr="0015793B">
        <w:rPr>
          <w:sz w:val="22"/>
          <w:szCs w:val="22"/>
        </w:rPr>
        <w:t>370</w:t>
      </w:r>
      <w:r w:rsidRPr="0015793B">
        <w:rPr>
          <w:sz w:val="22"/>
          <w:szCs w:val="22"/>
        </w:rPr>
        <w:t xml:space="preserve"> </w:t>
      </w:r>
      <w:r w:rsidR="0015793B">
        <w:rPr>
          <w:sz w:val="22"/>
          <w:szCs w:val="22"/>
        </w:rPr>
        <w:t xml:space="preserve">is a topics-based course designed to expand the curriculum to meet student and faculty interest. </w:t>
      </w:r>
      <w:r w:rsidRPr="0015793B">
        <w:rPr>
          <w:sz w:val="22"/>
          <w:szCs w:val="22"/>
        </w:rPr>
        <w:t xml:space="preserve">The English Department has identified </w:t>
      </w:r>
      <w:r w:rsidR="0015793B" w:rsidRPr="0015793B">
        <w:rPr>
          <w:sz w:val="22"/>
          <w:szCs w:val="22"/>
        </w:rPr>
        <w:t>two</w:t>
      </w:r>
      <w:r w:rsidRPr="0015793B">
        <w:rPr>
          <w:sz w:val="22"/>
          <w:szCs w:val="22"/>
        </w:rPr>
        <w:t xml:space="preserve"> Learning Outcomes</w:t>
      </w:r>
      <w:r w:rsidR="00381B84">
        <w:rPr>
          <w:sz w:val="22"/>
          <w:szCs w:val="22"/>
        </w:rPr>
        <w:t>/ Program Goals</w:t>
      </w:r>
      <w:r w:rsidRPr="0015793B">
        <w:rPr>
          <w:sz w:val="22"/>
          <w:szCs w:val="22"/>
        </w:rPr>
        <w:t xml:space="preserve"> for </w:t>
      </w:r>
      <w:r w:rsidR="0015793B">
        <w:rPr>
          <w:sz w:val="22"/>
          <w:szCs w:val="22"/>
        </w:rPr>
        <w:t xml:space="preserve">all sections of </w:t>
      </w:r>
      <w:r w:rsidRPr="0015793B">
        <w:rPr>
          <w:sz w:val="22"/>
          <w:szCs w:val="22"/>
        </w:rPr>
        <w:t xml:space="preserve">LIT </w:t>
      </w:r>
      <w:r w:rsidR="0026124A" w:rsidRPr="0015793B">
        <w:rPr>
          <w:sz w:val="22"/>
          <w:szCs w:val="22"/>
        </w:rPr>
        <w:t>370</w:t>
      </w:r>
      <w:r w:rsidRPr="0015793B">
        <w:rPr>
          <w:sz w:val="22"/>
          <w:szCs w:val="22"/>
        </w:rPr>
        <w:t xml:space="preserve">.  </w:t>
      </w:r>
    </w:p>
    <w:p w14:paraId="0979F9D6" w14:textId="77777777" w:rsidR="00C459FB" w:rsidRPr="0015793B" w:rsidRDefault="00C459FB" w:rsidP="00C459FB">
      <w:pPr>
        <w:jc w:val="both"/>
        <w:rPr>
          <w:sz w:val="22"/>
          <w:szCs w:val="22"/>
        </w:rPr>
      </w:pPr>
    </w:p>
    <w:p w14:paraId="2C114667" w14:textId="70F4D7DF" w:rsidR="0015793B" w:rsidRPr="0015793B" w:rsidRDefault="00381B84" w:rsidP="0015793B">
      <w:pPr>
        <w:pStyle w:val="ListParagraph"/>
        <w:numPr>
          <w:ilvl w:val="0"/>
          <w:numId w:val="10"/>
        </w:numPr>
        <w:contextualSpacing/>
        <w:rPr>
          <w:sz w:val="22"/>
          <w:szCs w:val="22"/>
        </w:rPr>
      </w:pPr>
      <w:r>
        <w:rPr>
          <w:sz w:val="22"/>
          <w:szCs w:val="22"/>
        </w:rPr>
        <w:t xml:space="preserve">(12) </w:t>
      </w:r>
      <w:r w:rsidR="0015793B">
        <w:rPr>
          <w:sz w:val="22"/>
          <w:szCs w:val="22"/>
        </w:rPr>
        <w:t>S</w:t>
      </w:r>
      <w:r w:rsidR="0015793B" w:rsidRPr="0015793B">
        <w:rPr>
          <w:sz w:val="22"/>
          <w:szCs w:val="22"/>
        </w:rPr>
        <w:t>tudents will be able to demonstrate familiarity with a range of critical, generic, and literary traditions (including recent theoretical approaches) that shape – and are shaped by – literary discourses and texts of particular periods or movements.</w:t>
      </w:r>
    </w:p>
    <w:p w14:paraId="388BADAA" w14:textId="77777777" w:rsidR="0015793B" w:rsidRPr="0015793B" w:rsidRDefault="0015793B" w:rsidP="0015793B">
      <w:pPr>
        <w:ind w:firstLine="360"/>
        <w:jc w:val="both"/>
        <w:rPr>
          <w:sz w:val="22"/>
          <w:szCs w:val="22"/>
        </w:rPr>
      </w:pPr>
    </w:p>
    <w:p w14:paraId="3A4BFDD7" w14:textId="7C0A6C5C" w:rsidR="0015793B" w:rsidRPr="0015793B" w:rsidRDefault="00381B84" w:rsidP="0015793B">
      <w:pPr>
        <w:pStyle w:val="ListParagraph"/>
        <w:numPr>
          <w:ilvl w:val="0"/>
          <w:numId w:val="10"/>
        </w:numPr>
        <w:jc w:val="both"/>
        <w:rPr>
          <w:b/>
          <w:sz w:val="22"/>
          <w:szCs w:val="22"/>
          <w:lang w:val="en-CA"/>
        </w:rPr>
      </w:pPr>
      <w:r>
        <w:rPr>
          <w:sz w:val="22"/>
          <w:szCs w:val="22"/>
        </w:rPr>
        <w:t xml:space="preserve">(15) </w:t>
      </w:r>
      <w:r w:rsidR="0015793B">
        <w:rPr>
          <w:sz w:val="22"/>
          <w:szCs w:val="22"/>
        </w:rPr>
        <w:t>S</w:t>
      </w:r>
      <w:r w:rsidR="0015793B" w:rsidRPr="0015793B">
        <w:rPr>
          <w:sz w:val="22"/>
          <w:szCs w:val="22"/>
        </w:rPr>
        <w:t>tudents will be able to read a literary work and characterize its main aesthetic, structural, and rhetorical strategies in an argumentative, thesis-driven essay or in a writing workshop</w:t>
      </w:r>
    </w:p>
    <w:p w14:paraId="16EA2204" w14:textId="77777777" w:rsidR="0015793B" w:rsidRPr="0015793B" w:rsidRDefault="0015793B" w:rsidP="0015793B">
      <w:pPr>
        <w:jc w:val="both"/>
        <w:rPr>
          <w:b/>
          <w:sz w:val="22"/>
          <w:szCs w:val="22"/>
          <w:lang w:val="en-CA"/>
        </w:rPr>
      </w:pPr>
    </w:p>
    <w:p w14:paraId="6096DEB1" w14:textId="5C9E231F" w:rsidR="0015793B" w:rsidRPr="0015793B" w:rsidRDefault="0015793B" w:rsidP="0015793B">
      <w:pPr>
        <w:jc w:val="both"/>
        <w:rPr>
          <w:sz w:val="22"/>
          <w:szCs w:val="22"/>
          <w:lang w:val="en-CA"/>
        </w:rPr>
      </w:pPr>
      <w:r>
        <w:rPr>
          <w:sz w:val="22"/>
          <w:szCs w:val="22"/>
          <w:lang w:val="en-CA"/>
        </w:rPr>
        <w:t>Although the course does fulfill a requirement for literary history, t</w:t>
      </w:r>
      <w:r w:rsidRPr="0015793B">
        <w:rPr>
          <w:sz w:val="22"/>
          <w:szCs w:val="22"/>
          <w:lang w:val="en-CA"/>
        </w:rPr>
        <w:t xml:space="preserve">he historical focus of this </w:t>
      </w:r>
      <w:r>
        <w:rPr>
          <w:sz w:val="22"/>
          <w:szCs w:val="22"/>
          <w:lang w:val="en-CA"/>
        </w:rPr>
        <w:t>particular section of LIT 370</w:t>
      </w:r>
      <w:r w:rsidRPr="0015793B">
        <w:rPr>
          <w:sz w:val="22"/>
          <w:szCs w:val="22"/>
          <w:lang w:val="en-CA"/>
        </w:rPr>
        <w:t xml:space="preserve"> meets another Learning Outcome associated with the English major:</w:t>
      </w:r>
    </w:p>
    <w:p w14:paraId="1349A47F" w14:textId="77777777" w:rsidR="0015793B" w:rsidRPr="0015793B" w:rsidRDefault="0015793B" w:rsidP="0015793B">
      <w:pPr>
        <w:jc w:val="both"/>
        <w:rPr>
          <w:b/>
          <w:sz w:val="22"/>
          <w:szCs w:val="22"/>
          <w:lang w:val="en-CA"/>
        </w:rPr>
      </w:pPr>
    </w:p>
    <w:p w14:paraId="0C91F1D8" w14:textId="36EC0A6C" w:rsidR="0015793B" w:rsidRPr="0015793B" w:rsidRDefault="00381B84" w:rsidP="00381B84">
      <w:pPr>
        <w:pStyle w:val="ListParagraph"/>
        <w:numPr>
          <w:ilvl w:val="0"/>
          <w:numId w:val="12"/>
        </w:numPr>
        <w:ind w:right="-306"/>
        <w:contextualSpacing/>
        <w:rPr>
          <w:sz w:val="22"/>
          <w:szCs w:val="22"/>
        </w:rPr>
      </w:pPr>
      <w:r>
        <w:rPr>
          <w:sz w:val="22"/>
          <w:szCs w:val="22"/>
        </w:rPr>
        <w:t xml:space="preserve">(14) </w:t>
      </w:r>
      <w:r w:rsidR="0015793B">
        <w:rPr>
          <w:sz w:val="22"/>
          <w:szCs w:val="22"/>
        </w:rPr>
        <w:t>S</w:t>
      </w:r>
      <w:r w:rsidR="0015793B" w:rsidRPr="0015793B">
        <w:rPr>
          <w:sz w:val="22"/>
          <w:szCs w:val="22"/>
        </w:rPr>
        <w:t>tudents will be able to identify historically specific elements relevant to a particular text.</w:t>
      </w:r>
    </w:p>
    <w:p w14:paraId="2E3FBA57" w14:textId="77777777" w:rsidR="00895275" w:rsidRDefault="00895275" w:rsidP="00C459FB">
      <w:pPr>
        <w:jc w:val="both"/>
        <w:rPr>
          <w:sz w:val="22"/>
          <w:szCs w:val="22"/>
        </w:rPr>
      </w:pPr>
    </w:p>
    <w:p w14:paraId="277B838E" w14:textId="26D35432" w:rsidR="00C459FB" w:rsidRPr="0015793B" w:rsidRDefault="00C459FB" w:rsidP="00C459FB">
      <w:pPr>
        <w:jc w:val="both"/>
        <w:rPr>
          <w:sz w:val="22"/>
          <w:szCs w:val="22"/>
        </w:rPr>
      </w:pPr>
      <w:r w:rsidRPr="0015793B">
        <w:rPr>
          <w:sz w:val="22"/>
          <w:szCs w:val="22"/>
        </w:rPr>
        <w:t xml:space="preserve">2) As part of the curriculum of the School of Humanities and Social Sciences, </w:t>
      </w:r>
      <w:r w:rsidR="00D56BFA">
        <w:rPr>
          <w:sz w:val="22"/>
          <w:szCs w:val="22"/>
        </w:rPr>
        <w:t xml:space="preserve">this section of </w:t>
      </w:r>
      <w:r w:rsidRPr="0015793B">
        <w:rPr>
          <w:sz w:val="22"/>
          <w:szCs w:val="22"/>
        </w:rPr>
        <w:t xml:space="preserve">LIT </w:t>
      </w:r>
      <w:r w:rsidR="0026124A" w:rsidRPr="0015793B">
        <w:rPr>
          <w:sz w:val="22"/>
          <w:szCs w:val="22"/>
        </w:rPr>
        <w:t>370</w:t>
      </w:r>
      <w:r w:rsidRPr="0015793B">
        <w:rPr>
          <w:sz w:val="22"/>
          <w:szCs w:val="22"/>
        </w:rPr>
        <w:t xml:space="preserve"> meets the following Learning Goals devised by Dean Benjamin Rifkin and presented to the Middle States Commission on Higher Education:</w:t>
      </w:r>
    </w:p>
    <w:p w14:paraId="48729D60" w14:textId="77777777" w:rsidR="00C459FB" w:rsidRPr="0015793B" w:rsidRDefault="00C459FB" w:rsidP="00C459FB">
      <w:pPr>
        <w:jc w:val="both"/>
        <w:rPr>
          <w:sz w:val="22"/>
          <w:szCs w:val="22"/>
        </w:rPr>
      </w:pPr>
    </w:p>
    <w:p w14:paraId="700C4DF4" w14:textId="77777777" w:rsidR="00C459FB" w:rsidRDefault="00C459FB" w:rsidP="00C459FB">
      <w:pPr>
        <w:numPr>
          <w:ilvl w:val="0"/>
          <w:numId w:val="2"/>
        </w:numPr>
        <w:jc w:val="both"/>
        <w:rPr>
          <w:sz w:val="22"/>
          <w:szCs w:val="22"/>
        </w:rPr>
      </w:pPr>
      <w:r w:rsidRPr="0015793B">
        <w:rPr>
          <w:sz w:val="22"/>
          <w:szCs w:val="22"/>
        </w:rPr>
        <w:t>(1) Written Communication</w:t>
      </w:r>
    </w:p>
    <w:p w14:paraId="3B941EF1" w14:textId="3C73E2C9" w:rsidR="00895275" w:rsidRPr="0015793B" w:rsidRDefault="00895275" w:rsidP="00C459FB">
      <w:pPr>
        <w:numPr>
          <w:ilvl w:val="0"/>
          <w:numId w:val="2"/>
        </w:numPr>
        <w:jc w:val="both"/>
        <w:rPr>
          <w:sz w:val="22"/>
          <w:szCs w:val="22"/>
        </w:rPr>
      </w:pPr>
      <w:r>
        <w:rPr>
          <w:sz w:val="22"/>
          <w:szCs w:val="22"/>
        </w:rPr>
        <w:t>(2) Oral Communication</w:t>
      </w:r>
    </w:p>
    <w:p w14:paraId="231780EE" w14:textId="77777777" w:rsidR="00C459FB" w:rsidRDefault="00C459FB" w:rsidP="00C459FB">
      <w:pPr>
        <w:numPr>
          <w:ilvl w:val="0"/>
          <w:numId w:val="2"/>
        </w:numPr>
        <w:jc w:val="both"/>
        <w:rPr>
          <w:sz w:val="22"/>
          <w:szCs w:val="22"/>
        </w:rPr>
      </w:pPr>
      <w:r w:rsidRPr="0015793B">
        <w:rPr>
          <w:sz w:val="22"/>
          <w:szCs w:val="22"/>
        </w:rPr>
        <w:t>(5) Critical Analysis and Reasoning:  Ability to critique the arguments of others in the discipline and the construction of one’s own arguments in the discipline, using data/evidence as a focus of instruction and/or the ability to analyze linguistic and cultural patterns</w:t>
      </w:r>
    </w:p>
    <w:p w14:paraId="44D00DB0" w14:textId="239A01C3" w:rsidR="00895275" w:rsidRPr="0015793B" w:rsidRDefault="00895275" w:rsidP="00C459FB">
      <w:pPr>
        <w:numPr>
          <w:ilvl w:val="0"/>
          <w:numId w:val="2"/>
        </w:numPr>
        <w:jc w:val="both"/>
        <w:rPr>
          <w:sz w:val="22"/>
          <w:szCs w:val="22"/>
        </w:rPr>
      </w:pPr>
      <w:r>
        <w:rPr>
          <w:sz w:val="22"/>
          <w:szCs w:val="22"/>
        </w:rPr>
        <w:t xml:space="preserve">(6) Information Literacy: </w:t>
      </w:r>
      <w:r w:rsidRPr="00895275">
        <w:rPr>
          <w:sz w:val="22"/>
          <w:szCs w:val="22"/>
        </w:rPr>
        <w:t>Evaluating the v</w:t>
      </w:r>
      <w:r>
        <w:rPr>
          <w:sz w:val="22"/>
          <w:szCs w:val="22"/>
        </w:rPr>
        <w:t xml:space="preserve">alidity and/or reliability of </w:t>
      </w:r>
      <w:r w:rsidRPr="00895275">
        <w:rPr>
          <w:sz w:val="22"/>
          <w:szCs w:val="22"/>
        </w:rPr>
        <w:t>source</w:t>
      </w:r>
      <w:r>
        <w:rPr>
          <w:sz w:val="22"/>
          <w:szCs w:val="22"/>
        </w:rPr>
        <w:t>s</w:t>
      </w:r>
    </w:p>
    <w:p w14:paraId="57B9E487" w14:textId="77777777" w:rsidR="00C459FB" w:rsidRDefault="00C459FB" w:rsidP="00C459FB">
      <w:pPr>
        <w:numPr>
          <w:ilvl w:val="0"/>
          <w:numId w:val="2"/>
        </w:numPr>
        <w:jc w:val="both"/>
        <w:rPr>
          <w:sz w:val="22"/>
          <w:szCs w:val="22"/>
        </w:rPr>
      </w:pPr>
      <w:r w:rsidRPr="0015793B">
        <w:rPr>
          <w:sz w:val="22"/>
          <w:szCs w:val="22"/>
        </w:rPr>
        <w:t>(7) Interpretation of Language and Symbol</w:t>
      </w:r>
    </w:p>
    <w:p w14:paraId="5642D048" w14:textId="77777777" w:rsidR="00C36EAE" w:rsidRPr="00C36EAE" w:rsidRDefault="00C36EAE" w:rsidP="00C36EAE">
      <w:pPr>
        <w:ind w:left="720"/>
        <w:jc w:val="both"/>
        <w:rPr>
          <w:sz w:val="22"/>
          <w:szCs w:val="22"/>
        </w:rPr>
      </w:pPr>
    </w:p>
    <w:p w14:paraId="30ADD5DE" w14:textId="5C3D50B1" w:rsidR="009E08B4" w:rsidRDefault="00895275" w:rsidP="00895275">
      <w:pPr>
        <w:jc w:val="both"/>
        <w:rPr>
          <w:sz w:val="22"/>
          <w:szCs w:val="22"/>
        </w:rPr>
      </w:pPr>
      <w:r>
        <w:rPr>
          <w:sz w:val="22"/>
          <w:szCs w:val="22"/>
        </w:rPr>
        <w:t>3) As part of the T</w:t>
      </w:r>
      <w:r w:rsidR="009E08B4">
        <w:rPr>
          <w:sz w:val="22"/>
          <w:szCs w:val="22"/>
        </w:rPr>
        <w:t xml:space="preserve">CNJ Honors program, this course emphasizes </w:t>
      </w:r>
      <w:r w:rsidR="005270E5">
        <w:rPr>
          <w:sz w:val="22"/>
          <w:szCs w:val="22"/>
        </w:rPr>
        <w:t xml:space="preserve">three </w:t>
      </w:r>
      <w:r w:rsidR="009E08B4">
        <w:rPr>
          <w:sz w:val="22"/>
          <w:szCs w:val="22"/>
        </w:rPr>
        <w:t>pillars of academic excellence:</w:t>
      </w:r>
    </w:p>
    <w:p w14:paraId="374D7DC7" w14:textId="77777777" w:rsidR="00C36EAE" w:rsidRDefault="00C36EAE" w:rsidP="00895275">
      <w:pPr>
        <w:jc w:val="both"/>
        <w:rPr>
          <w:sz w:val="22"/>
          <w:szCs w:val="22"/>
        </w:rPr>
      </w:pPr>
    </w:p>
    <w:p w14:paraId="497139DB" w14:textId="512A48AA" w:rsidR="009E08B4" w:rsidRPr="009E08B4" w:rsidRDefault="009E08B4" w:rsidP="009E08B4">
      <w:pPr>
        <w:pStyle w:val="ListParagraph"/>
        <w:numPr>
          <w:ilvl w:val="0"/>
          <w:numId w:val="12"/>
        </w:numPr>
        <w:jc w:val="both"/>
        <w:rPr>
          <w:sz w:val="22"/>
          <w:szCs w:val="22"/>
        </w:rPr>
      </w:pPr>
      <w:r w:rsidRPr="009E08B4">
        <w:rPr>
          <w:sz w:val="22"/>
          <w:szCs w:val="22"/>
        </w:rPr>
        <w:t>it has an interdisciplinary focus</w:t>
      </w:r>
    </w:p>
    <w:p w14:paraId="17C55456" w14:textId="515D7957" w:rsidR="009E08B4" w:rsidRPr="009E08B4" w:rsidRDefault="009E08B4" w:rsidP="009E08B4">
      <w:pPr>
        <w:pStyle w:val="ListParagraph"/>
        <w:numPr>
          <w:ilvl w:val="0"/>
          <w:numId w:val="13"/>
        </w:numPr>
        <w:jc w:val="both"/>
        <w:rPr>
          <w:sz w:val="22"/>
          <w:szCs w:val="22"/>
        </w:rPr>
      </w:pPr>
      <w:r w:rsidRPr="009E08B4">
        <w:rPr>
          <w:sz w:val="22"/>
          <w:szCs w:val="22"/>
        </w:rPr>
        <w:t>it provides students with opportunities to lead in the classroom</w:t>
      </w:r>
    </w:p>
    <w:p w14:paraId="34E50780" w14:textId="14615DF1" w:rsidR="009E08B4" w:rsidRPr="009E08B4" w:rsidRDefault="009E08B4" w:rsidP="009E08B4">
      <w:pPr>
        <w:pStyle w:val="ListParagraph"/>
        <w:numPr>
          <w:ilvl w:val="0"/>
          <w:numId w:val="13"/>
        </w:numPr>
        <w:jc w:val="both"/>
        <w:rPr>
          <w:sz w:val="22"/>
          <w:szCs w:val="22"/>
        </w:rPr>
      </w:pPr>
      <w:r w:rsidRPr="009E08B4">
        <w:rPr>
          <w:sz w:val="22"/>
          <w:szCs w:val="22"/>
        </w:rPr>
        <w:t>it sets high standards for academic rigor</w:t>
      </w:r>
    </w:p>
    <w:p w14:paraId="696AB36E" w14:textId="77777777" w:rsidR="00895275" w:rsidRDefault="00895275" w:rsidP="00895275">
      <w:pPr>
        <w:jc w:val="both"/>
        <w:rPr>
          <w:sz w:val="22"/>
          <w:szCs w:val="22"/>
        </w:rPr>
      </w:pPr>
    </w:p>
    <w:p w14:paraId="04A8181C" w14:textId="6D44123F" w:rsidR="00C459FB" w:rsidRPr="0015793B" w:rsidRDefault="00895275" w:rsidP="00895275">
      <w:pPr>
        <w:jc w:val="both"/>
        <w:rPr>
          <w:sz w:val="22"/>
          <w:szCs w:val="22"/>
        </w:rPr>
      </w:pPr>
      <w:r>
        <w:rPr>
          <w:sz w:val="22"/>
          <w:szCs w:val="22"/>
        </w:rPr>
        <w:t>4</w:t>
      </w:r>
      <w:r w:rsidR="00C459FB" w:rsidRPr="0015793B">
        <w:rPr>
          <w:sz w:val="22"/>
          <w:szCs w:val="22"/>
        </w:rPr>
        <w:t xml:space="preserve">) This course meets 160 minutes a week but carries 1 full unit of credit toward the completion of an undergraduate degree.  Students enrolled in this course are expected to take substantial responsibility outside the classroom for their own learning experience and to complete assignments at a level of excellence that significantly exceeds what is required at many other colleges and universities, including at the College itself prior to 2006.   </w:t>
      </w:r>
    </w:p>
    <w:p w14:paraId="3FB1ABF6" w14:textId="77777777" w:rsidR="00C459FB" w:rsidRPr="0015793B" w:rsidRDefault="00C459FB" w:rsidP="00C459FB">
      <w:pPr>
        <w:jc w:val="both"/>
        <w:rPr>
          <w:sz w:val="22"/>
          <w:szCs w:val="22"/>
        </w:rPr>
      </w:pPr>
    </w:p>
    <w:p w14:paraId="1E1EC247" w14:textId="66DC5C96" w:rsidR="00C459FB" w:rsidRPr="0015793B" w:rsidRDefault="000732FC" w:rsidP="00C459FB">
      <w:pPr>
        <w:jc w:val="both"/>
        <w:rPr>
          <w:sz w:val="22"/>
          <w:szCs w:val="22"/>
          <w:lang w:val="en-CA"/>
        </w:rPr>
      </w:pPr>
      <w:r>
        <w:rPr>
          <w:sz w:val="22"/>
          <w:szCs w:val="22"/>
        </w:rPr>
        <w:t>5</w:t>
      </w:r>
      <w:r w:rsidR="00C459FB" w:rsidRPr="0015793B">
        <w:rPr>
          <w:sz w:val="22"/>
          <w:szCs w:val="22"/>
        </w:rPr>
        <w:t>) Because the</w:t>
      </w:r>
      <w:r w:rsidR="00C459FB" w:rsidRPr="0015793B">
        <w:rPr>
          <w:b/>
          <w:sz w:val="22"/>
          <w:szCs w:val="22"/>
        </w:rPr>
        <w:t xml:space="preserve"> </w:t>
      </w:r>
      <w:r w:rsidR="00C459FB" w:rsidRPr="0015793B">
        <w:rPr>
          <w:sz w:val="22"/>
          <w:szCs w:val="22"/>
        </w:rPr>
        <w:t>students in this course are assigned additional learning tasks that make the semester's learning experience more deeply engaged and rigorous, no additional classroom time or space is needed.</w:t>
      </w:r>
    </w:p>
    <w:p w14:paraId="664250BB" w14:textId="77777777" w:rsidR="00895275" w:rsidRDefault="00895275" w:rsidP="009E08B4">
      <w:pPr>
        <w:rPr>
          <w:b/>
          <w:sz w:val="22"/>
          <w:lang w:val="en-CA"/>
        </w:rPr>
      </w:pPr>
    </w:p>
    <w:p w14:paraId="405A68E1" w14:textId="77777777" w:rsidR="00C459FB" w:rsidRDefault="00C459FB" w:rsidP="00C459FB">
      <w:pPr>
        <w:jc w:val="center"/>
        <w:rPr>
          <w:b/>
          <w:sz w:val="22"/>
        </w:rPr>
      </w:pP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Grading Rubric</w:t>
      </w:r>
    </w:p>
    <w:p w14:paraId="67765501" w14:textId="77777777" w:rsidR="00C459FB" w:rsidRDefault="00C459FB" w:rsidP="00C459FB">
      <w:pPr>
        <w:jc w:val="center"/>
      </w:pPr>
    </w:p>
    <w:p w14:paraId="41A7FC54" w14:textId="77777777" w:rsidR="00C459FB" w:rsidRDefault="00C459FB" w:rsidP="00C459FB">
      <w:pPr>
        <w:rPr>
          <w:sz w:val="20"/>
        </w:rPr>
      </w:pPr>
      <w:r>
        <w:rPr>
          <w:sz w:val="20"/>
        </w:rPr>
        <w:t xml:space="preserve">Grading papers is not a precise business. I do not give or take off a fixed number of points for particular strengths or weaknesses. Sometimes an overwhelmingly good or bad performance in one area outweighs other factors. The following table, therefore, should be read as a guideline only.  It breaks down the course’s grading criteria into four categories: argument, evidence, style, and mechanics. These are not, however, entirely discrete categories, and in fact, your performance in one area will often shape your performance in another.  For example, readers will not be able to appreciate your argument if they have to struggle to understand the sentences that convey it. </w:t>
      </w:r>
    </w:p>
    <w:p w14:paraId="6487EABF" w14:textId="77777777" w:rsidR="00C459FB" w:rsidRDefault="00C459FB" w:rsidP="00C459FB"/>
    <w:tbl>
      <w:tblPr>
        <w:tblW w:w="0" w:type="auto"/>
        <w:tblInd w:w="10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260"/>
        <w:gridCol w:w="2070"/>
        <w:gridCol w:w="2520"/>
        <w:gridCol w:w="2070"/>
        <w:gridCol w:w="1620"/>
      </w:tblGrid>
      <w:tr w:rsidR="00C459FB" w14:paraId="6C608937" w14:textId="77777777" w:rsidTr="00E86FFF">
        <w:trPr>
          <w:cantSplit/>
        </w:trPr>
        <w:tc>
          <w:tcPr>
            <w:tcW w:w="1260" w:type="dxa"/>
          </w:tcPr>
          <w:p w14:paraId="4D457F1F" w14:textId="77777777" w:rsidR="00C459FB" w:rsidRDefault="00C459FB" w:rsidP="00E86FFF">
            <w:pPr>
              <w:spacing w:before="100" w:after="54"/>
              <w:rPr>
                <w:sz w:val="20"/>
              </w:rPr>
            </w:pPr>
            <w:r>
              <w:rPr>
                <w:sz w:val="20"/>
              </w:rPr>
              <w:t>CRITERIA</w:t>
            </w:r>
          </w:p>
          <w:p w14:paraId="7E2AAB04" w14:textId="77777777" w:rsidR="00C459FB" w:rsidRDefault="00C459FB" w:rsidP="00E86FFF">
            <w:pPr>
              <w:spacing w:before="100" w:after="54"/>
              <w:rPr>
                <w:sz w:val="20"/>
              </w:rPr>
            </w:pPr>
            <w:r>
              <w:rPr>
                <w:sz w:val="20"/>
              </w:rPr>
              <w:t>GRADE</w:t>
            </w:r>
          </w:p>
        </w:tc>
        <w:tc>
          <w:tcPr>
            <w:tcW w:w="2070" w:type="dxa"/>
          </w:tcPr>
          <w:p w14:paraId="45EFA1BA" w14:textId="77777777" w:rsidR="00C459FB" w:rsidRDefault="00C459FB" w:rsidP="00E86FFF">
            <w:pPr>
              <w:spacing w:before="100" w:after="54"/>
              <w:rPr>
                <w:sz w:val="20"/>
              </w:rPr>
            </w:pPr>
            <w:r>
              <w:rPr>
                <w:sz w:val="20"/>
              </w:rPr>
              <w:t>ARGUMENT</w:t>
            </w:r>
          </w:p>
        </w:tc>
        <w:tc>
          <w:tcPr>
            <w:tcW w:w="2520" w:type="dxa"/>
          </w:tcPr>
          <w:p w14:paraId="151C3E5B" w14:textId="77777777" w:rsidR="00C459FB" w:rsidRDefault="00C459FB" w:rsidP="00E86FFF">
            <w:pPr>
              <w:spacing w:before="100" w:after="54"/>
              <w:rPr>
                <w:sz w:val="20"/>
              </w:rPr>
            </w:pPr>
            <w:r>
              <w:rPr>
                <w:sz w:val="20"/>
              </w:rPr>
              <w:t>EVIDENCE</w:t>
            </w:r>
          </w:p>
        </w:tc>
        <w:tc>
          <w:tcPr>
            <w:tcW w:w="2070" w:type="dxa"/>
          </w:tcPr>
          <w:p w14:paraId="7790DE1B" w14:textId="77777777" w:rsidR="00C459FB" w:rsidRDefault="00C459FB" w:rsidP="00E86FFF">
            <w:pPr>
              <w:spacing w:before="100" w:after="54"/>
              <w:rPr>
                <w:sz w:val="20"/>
              </w:rPr>
            </w:pPr>
            <w:r>
              <w:rPr>
                <w:sz w:val="20"/>
              </w:rPr>
              <w:t>STYLE</w:t>
            </w:r>
          </w:p>
        </w:tc>
        <w:tc>
          <w:tcPr>
            <w:tcW w:w="1620" w:type="dxa"/>
          </w:tcPr>
          <w:p w14:paraId="0BA5A2BB" w14:textId="77777777" w:rsidR="00C459FB" w:rsidRDefault="00C459FB" w:rsidP="00E86FFF">
            <w:pPr>
              <w:spacing w:before="100" w:after="54"/>
              <w:rPr>
                <w:sz w:val="20"/>
              </w:rPr>
            </w:pPr>
            <w:r>
              <w:rPr>
                <w:sz w:val="20"/>
              </w:rPr>
              <w:t>MECHANICS/ GRAMMAR</w:t>
            </w:r>
          </w:p>
        </w:tc>
      </w:tr>
      <w:tr w:rsidR="00C459FB" w14:paraId="0E787D44" w14:textId="77777777" w:rsidTr="00E86FFF">
        <w:trPr>
          <w:cantSplit/>
        </w:trPr>
        <w:tc>
          <w:tcPr>
            <w:tcW w:w="1260" w:type="dxa"/>
          </w:tcPr>
          <w:p w14:paraId="4E7D0667" w14:textId="77777777" w:rsidR="00C459FB" w:rsidRDefault="00C459FB" w:rsidP="00E86FFF">
            <w:pPr>
              <w:spacing w:before="100" w:after="54"/>
              <w:rPr>
                <w:sz w:val="18"/>
              </w:rPr>
            </w:pPr>
          </w:p>
          <w:p w14:paraId="2D6B8E56" w14:textId="77777777" w:rsidR="00C459FB" w:rsidRDefault="00C459FB" w:rsidP="00E86FFF">
            <w:pPr>
              <w:spacing w:before="100" w:after="54"/>
              <w:rPr>
                <w:sz w:val="18"/>
              </w:rPr>
            </w:pPr>
          </w:p>
          <w:p w14:paraId="124048D2" w14:textId="77777777" w:rsidR="00C459FB" w:rsidRDefault="00C459FB" w:rsidP="00E86FFF">
            <w:pPr>
              <w:spacing w:before="100" w:after="54"/>
              <w:rPr>
                <w:sz w:val="18"/>
              </w:rPr>
            </w:pPr>
            <w:r>
              <w:rPr>
                <w:sz w:val="18"/>
              </w:rPr>
              <w:t xml:space="preserve">   A</w:t>
            </w:r>
          </w:p>
        </w:tc>
        <w:tc>
          <w:tcPr>
            <w:tcW w:w="2070" w:type="dxa"/>
          </w:tcPr>
          <w:p w14:paraId="47365005" w14:textId="77777777" w:rsidR="00C459FB" w:rsidRDefault="00C459FB" w:rsidP="00E86FFF">
            <w:pPr>
              <w:spacing w:before="100" w:after="54"/>
              <w:rPr>
                <w:sz w:val="18"/>
              </w:rPr>
            </w:pPr>
            <w:r>
              <w:rPr>
                <w:sz w:val="18"/>
              </w:rPr>
              <w:t>Argument is focused, clearly stated at the beginning, and developed logically throughout the paper to a conclusion. Paragraphs organized around concepts with strong topic sentences.  Argument is bold, fresh, and compelling</w:t>
            </w:r>
          </w:p>
        </w:tc>
        <w:tc>
          <w:tcPr>
            <w:tcW w:w="2520" w:type="dxa"/>
          </w:tcPr>
          <w:p w14:paraId="09A89E58" w14:textId="77777777" w:rsidR="00C459FB" w:rsidRDefault="00C459FB" w:rsidP="00E86FFF">
            <w:pPr>
              <w:spacing w:before="100" w:after="54"/>
              <w:rPr>
                <w:sz w:val="18"/>
              </w:rPr>
            </w:pPr>
            <w:r>
              <w:rPr>
                <w:sz w:val="18"/>
              </w:rPr>
              <w:t>Extensive and varied factual evidence supports argument. No significant omissions, irrelevancies, or errors of fact.  Quoted and paraphrased material is introduced fluidly, with varying and helpful framing.</w:t>
            </w:r>
          </w:p>
        </w:tc>
        <w:tc>
          <w:tcPr>
            <w:tcW w:w="2070" w:type="dxa"/>
          </w:tcPr>
          <w:p w14:paraId="24CF573C" w14:textId="77777777" w:rsidR="00C459FB" w:rsidRDefault="00C459FB" w:rsidP="00E86FFF">
            <w:pPr>
              <w:spacing w:before="100" w:after="54"/>
              <w:rPr>
                <w:sz w:val="18"/>
              </w:rPr>
            </w:pPr>
            <w:r>
              <w:rPr>
                <w:sz w:val="18"/>
              </w:rPr>
              <w:t>Excellent prose style: clear, elegant, persuasive.  Language and phrasing are precise and, in some cases, memorable.  Writer has an identifiable and coherent voice.</w:t>
            </w:r>
          </w:p>
        </w:tc>
        <w:tc>
          <w:tcPr>
            <w:tcW w:w="1620" w:type="dxa"/>
          </w:tcPr>
          <w:p w14:paraId="4152544A" w14:textId="77777777" w:rsidR="00C459FB" w:rsidRDefault="00C459FB" w:rsidP="00E86FFF">
            <w:pPr>
              <w:spacing w:before="100" w:after="54"/>
              <w:rPr>
                <w:sz w:val="18"/>
              </w:rPr>
            </w:pPr>
            <w:r>
              <w:rPr>
                <w:sz w:val="18"/>
              </w:rPr>
              <w:t xml:space="preserve">Minimal errors in grammar, spelling, etc.  </w:t>
            </w:r>
          </w:p>
        </w:tc>
      </w:tr>
      <w:tr w:rsidR="00C459FB" w14:paraId="0C394877" w14:textId="77777777" w:rsidTr="00E86FFF">
        <w:trPr>
          <w:cantSplit/>
        </w:trPr>
        <w:tc>
          <w:tcPr>
            <w:tcW w:w="1260" w:type="dxa"/>
            <w:tcBorders>
              <w:bottom w:val="single" w:sz="6" w:space="0" w:color="000000"/>
            </w:tcBorders>
          </w:tcPr>
          <w:p w14:paraId="3F6A6023" w14:textId="77777777" w:rsidR="00C459FB" w:rsidRDefault="00C459FB" w:rsidP="00E86FFF">
            <w:pPr>
              <w:spacing w:before="100" w:after="54"/>
              <w:rPr>
                <w:sz w:val="18"/>
              </w:rPr>
            </w:pPr>
          </w:p>
          <w:p w14:paraId="6EF6EEA9" w14:textId="77777777" w:rsidR="00C459FB" w:rsidRDefault="00C459FB" w:rsidP="00E86FFF">
            <w:pPr>
              <w:spacing w:before="100" w:after="54"/>
              <w:rPr>
                <w:sz w:val="18"/>
              </w:rPr>
            </w:pPr>
          </w:p>
          <w:p w14:paraId="122EC255" w14:textId="77777777" w:rsidR="00C459FB" w:rsidRDefault="00C459FB" w:rsidP="00E86FFF">
            <w:pPr>
              <w:spacing w:before="100" w:after="54"/>
              <w:rPr>
                <w:sz w:val="18"/>
              </w:rPr>
            </w:pPr>
            <w:r>
              <w:rPr>
                <w:sz w:val="18"/>
              </w:rPr>
              <w:t xml:space="preserve">   B</w:t>
            </w:r>
          </w:p>
        </w:tc>
        <w:tc>
          <w:tcPr>
            <w:tcW w:w="2070" w:type="dxa"/>
            <w:tcBorders>
              <w:bottom w:val="single" w:sz="6" w:space="0" w:color="000000"/>
            </w:tcBorders>
          </w:tcPr>
          <w:p w14:paraId="26E1F0F3" w14:textId="77777777" w:rsidR="00C459FB" w:rsidRDefault="00C459FB" w:rsidP="00E86FFF">
            <w:pPr>
              <w:spacing w:before="100" w:after="54"/>
              <w:rPr>
                <w:sz w:val="18"/>
              </w:rPr>
            </w:pPr>
            <w:r>
              <w:rPr>
                <w:sz w:val="18"/>
              </w:rPr>
              <w:t>Argument relatively clear and focused but may fail to develop to a precise, ambitious conclusion.                                Topic sentences advance different stages of the argument.  Papers in the B-/C+ range generally have a routine, pedestrian argument or one that re-hashes class discussion rather than breaking new ground.</w:t>
            </w:r>
          </w:p>
        </w:tc>
        <w:tc>
          <w:tcPr>
            <w:tcW w:w="2520" w:type="dxa"/>
            <w:tcBorders>
              <w:bottom w:val="single" w:sz="6" w:space="0" w:color="000000"/>
            </w:tcBorders>
          </w:tcPr>
          <w:p w14:paraId="44E56B5A" w14:textId="77777777" w:rsidR="00C459FB" w:rsidRDefault="00C459FB" w:rsidP="00E86FFF">
            <w:pPr>
              <w:spacing w:before="100" w:after="54"/>
              <w:rPr>
                <w:sz w:val="18"/>
              </w:rPr>
            </w:pPr>
            <w:r>
              <w:rPr>
                <w:sz w:val="18"/>
              </w:rPr>
              <w:t xml:space="preserve">Generally good evidence, but some lack of variety of sources, errors of omission, and/ or irrelevant data.  Quoted and paraphrased material is framed properly, though at times mechanically.  </w:t>
            </w:r>
          </w:p>
        </w:tc>
        <w:tc>
          <w:tcPr>
            <w:tcW w:w="2070" w:type="dxa"/>
            <w:tcBorders>
              <w:bottom w:val="single" w:sz="6" w:space="0" w:color="000000"/>
            </w:tcBorders>
          </w:tcPr>
          <w:p w14:paraId="305423B4" w14:textId="77777777" w:rsidR="00C459FB" w:rsidRDefault="00C459FB" w:rsidP="00E86FFF">
            <w:pPr>
              <w:spacing w:before="100" w:after="54"/>
              <w:rPr>
                <w:sz w:val="18"/>
              </w:rPr>
            </w:pPr>
            <w:r>
              <w:rPr>
                <w:sz w:val="18"/>
              </w:rPr>
              <w:t>Clear, serviceable prose that does not obscure understanding.   Writer has used varying sentence patterns, although the sentences lack the rhythm and precision of an A paper.  Writer’s voice is emerging.</w:t>
            </w:r>
          </w:p>
        </w:tc>
        <w:tc>
          <w:tcPr>
            <w:tcW w:w="1620" w:type="dxa"/>
            <w:tcBorders>
              <w:bottom w:val="single" w:sz="6" w:space="0" w:color="000000"/>
            </w:tcBorders>
          </w:tcPr>
          <w:p w14:paraId="26EA7939" w14:textId="77777777" w:rsidR="00C459FB" w:rsidRDefault="00C459FB" w:rsidP="00E86FFF">
            <w:pPr>
              <w:spacing w:before="100" w:after="54"/>
              <w:rPr>
                <w:sz w:val="18"/>
              </w:rPr>
            </w:pPr>
            <w:r>
              <w:rPr>
                <w:sz w:val="18"/>
              </w:rPr>
              <w:t xml:space="preserve">A few errors ranging from typos and spelling mistakes to the inappropriate use of the passive voice.  </w:t>
            </w:r>
          </w:p>
        </w:tc>
      </w:tr>
      <w:tr w:rsidR="00C459FB" w14:paraId="64998B90" w14:textId="77777777" w:rsidTr="00E86FFF">
        <w:trPr>
          <w:cantSplit/>
          <w:trHeight w:val="3657"/>
        </w:trPr>
        <w:tc>
          <w:tcPr>
            <w:tcW w:w="1260" w:type="dxa"/>
            <w:tcBorders>
              <w:top w:val="single" w:sz="6" w:space="0" w:color="000000"/>
              <w:left w:val="single" w:sz="6" w:space="0" w:color="000000"/>
              <w:bottom w:val="single" w:sz="6" w:space="0" w:color="000000"/>
              <w:right w:val="single" w:sz="6" w:space="0" w:color="000000"/>
            </w:tcBorders>
          </w:tcPr>
          <w:p w14:paraId="0C9DBF05" w14:textId="77777777" w:rsidR="00C459FB" w:rsidRDefault="00C459FB" w:rsidP="00E86FFF">
            <w:pPr>
              <w:spacing w:before="100" w:after="54"/>
              <w:rPr>
                <w:sz w:val="18"/>
              </w:rPr>
            </w:pPr>
          </w:p>
          <w:p w14:paraId="1AB5E8BA" w14:textId="77777777" w:rsidR="00C459FB" w:rsidRDefault="00C459FB" w:rsidP="00E86FFF">
            <w:pPr>
              <w:spacing w:before="100" w:after="54"/>
              <w:rPr>
                <w:sz w:val="18"/>
              </w:rPr>
            </w:pPr>
          </w:p>
          <w:p w14:paraId="4FADED1A" w14:textId="77777777" w:rsidR="00C459FB" w:rsidRDefault="00C459FB" w:rsidP="00E86FFF">
            <w:pPr>
              <w:spacing w:before="100" w:after="54"/>
              <w:rPr>
                <w:sz w:val="18"/>
              </w:rPr>
            </w:pPr>
            <w:r>
              <w:rPr>
                <w:sz w:val="18"/>
              </w:rPr>
              <w:t xml:space="preserve">   C</w:t>
            </w:r>
          </w:p>
        </w:tc>
        <w:tc>
          <w:tcPr>
            <w:tcW w:w="2070" w:type="dxa"/>
            <w:tcBorders>
              <w:top w:val="single" w:sz="6" w:space="0" w:color="000000"/>
              <w:left w:val="single" w:sz="6" w:space="0" w:color="000000"/>
              <w:bottom w:val="single" w:sz="6" w:space="0" w:color="000000"/>
              <w:right w:val="single" w:sz="6" w:space="0" w:color="000000"/>
            </w:tcBorders>
          </w:tcPr>
          <w:p w14:paraId="5E6DEDDD" w14:textId="77777777" w:rsidR="00C459FB" w:rsidRDefault="00C459FB" w:rsidP="00E86FFF">
            <w:pPr>
              <w:spacing w:before="100" w:after="54"/>
              <w:rPr>
                <w:sz w:val="18"/>
              </w:rPr>
            </w:pPr>
            <w:r>
              <w:rPr>
                <w:sz w:val="18"/>
              </w:rPr>
              <w:t xml:space="preserve">Argument is vague, general and implied rather than explicitly stated; it does not lead to a well-developed conclusion.  When organized, paragraphs and topic sentences emphasize sequence (time, scenes, </w:t>
            </w:r>
            <w:proofErr w:type="spellStart"/>
            <w:r>
              <w:rPr>
                <w:sz w:val="18"/>
              </w:rPr>
              <w:t>etc</w:t>
            </w:r>
            <w:proofErr w:type="spellEnd"/>
            <w:r>
              <w:rPr>
                <w:sz w:val="18"/>
              </w:rPr>
              <w:t>) rather than concepts.  Frequent and unnecessary plot summary.  These papers often “recognize” an image or thematic pattern and “display” that pattern, but do not advance an argument.</w:t>
            </w:r>
          </w:p>
        </w:tc>
        <w:tc>
          <w:tcPr>
            <w:tcW w:w="2520" w:type="dxa"/>
            <w:tcBorders>
              <w:top w:val="single" w:sz="6" w:space="0" w:color="000000"/>
              <w:left w:val="single" w:sz="6" w:space="0" w:color="000000"/>
              <w:bottom w:val="single" w:sz="6" w:space="0" w:color="000000"/>
              <w:right w:val="single" w:sz="6" w:space="0" w:color="000000"/>
            </w:tcBorders>
          </w:tcPr>
          <w:p w14:paraId="3A4B14F2" w14:textId="77777777" w:rsidR="00C459FB" w:rsidRDefault="00C459FB" w:rsidP="00E86FFF">
            <w:pPr>
              <w:spacing w:before="100" w:after="54"/>
              <w:rPr>
                <w:sz w:val="18"/>
              </w:rPr>
            </w:pPr>
            <w:r>
              <w:rPr>
                <w:sz w:val="18"/>
              </w:rPr>
              <w:t>Some evidence, but excessive dependence on a single scene or source, substantial omissions or irrelevancies, and/or minor errors of fact.  Quoted and paraphrased materials are simply dropped into the text without attribution or framing.</w:t>
            </w:r>
          </w:p>
        </w:tc>
        <w:tc>
          <w:tcPr>
            <w:tcW w:w="2070" w:type="dxa"/>
            <w:tcBorders>
              <w:top w:val="single" w:sz="6" w:space="0" w:color="000000"/>
              <w:left w:val="single" w:sz="6" w:space="0" w:color="000000"/>
              <w:bottom w:val="single" w:sz="6" w:space="0" w:color="000000"/>
              <w:right w:val="single" w:sz="6" w:space="0" w:color="000000"/>
            </w:tcBorders>
          </w:tcPr>
          <w:p w14:paraId="6D6F63B3" w14:textId="77777777" w:rsidR="00C459FB" w:rsidRDefault="00C459FB" w:rsidP="00E86FFF">
            <w:pPr>
              <w:spacing w:before="100" w:after="54"/>
              <w:rPr>
                <w:sz w:val="18"/>
              </w:rPr>
            </w:pPr>
            <w:r>
              <w:rPr>
                <w:sz w:val="18"/>
              </w:rPr>
              <w:t xml:space="preserve">Understandable writing, but sometimes vague, wooden, or choppy.  Sentences are haphazardly constructed, giving the impression that the writer has little control.  </w:t>
            </w:r>
          </w:p>
        </w:tc>
        <w:tc>
          <w:tcPr>
            <w:tcW w:w="1620" w:type="dxa"/>
            <w:tcBorders>
              <w:top w:val="single" w:sz="6" w:space="0" w:color="000000"/>
              <w:left w:val="single" w:sz="6" w:space="0" w:color="000000"/>
              <w:bottom w:val="single" w:sz="6" w:space="0" w:color="000000"/>
              <w:right w:val="single" w:sz="6" w:space="0" w:color="000000"/>
            </w:tcBorders>
          </w:tcPr>
          <w:p w14:paraId="6550B76C" w14:textId="77777777" w:rsidR="00C459FB" w:rsidRDefault="00C459FB" w:rsidP="00E86FFF">
            <w:pPr>
              <w:spacing w:before="100" w:after="54"/>
              <w:rPr>
                <w:sz w:val="18"/>
              </w:rPr>
            </w:pPr>
            <w:r>
              <w:rPr>
                <w:sz w:val="18"/>
              </w:rPr>
              <w:t>Substantial errors which detract from overall effect of paper or suggest a wavering commitment to the assignment.*</w:t>
            </w:r>
          </w:p>
        </w:tc>
      </w:tr>
      <w:tr w:rsidR="00C459FB" w14:paraId="678D2383" w14:textId="77777777" w:rsidTr="00E86FFF">
        <w:trPr>
          <w:cantSplit/>
        </w:trPr>
        <w:tc>
          <w:tcPr>
            <w:tcW w:w="1260" w:type="dxa"/>
            <w:tcBorders>
              <w:top w:val="single" w:sz="6" w:space="0" w:color="000000"/>
              <w:bottom w:val="single" w:sz="6" w:space="0" w:color="000000"/>
            </w:tcBorders>
          </w:tcPr>
          <w:p w14:paraId="718C11A4" w14:textId="77777777" w:rsidR="00C459FB" w:rsidRDefault="00C459FB" w:rsidP="00E86FFF">
            <w:pPr>
              <w:spacing w:before="100" w:after="54"/>
              <w:rPr>
                <w:sz w:val="18"/>
              </w:rPr>
            </w:pPr>
          </w:p>
          <w:p w14:paraId="258DA3DC" w14:textId="77777777" w:rsidR="00C459FB" w:rsidRDefault="00C459FB" w:rsidP="00E86FFF">
            <w:pPr>
              <w:spacing w:before="100" w:after="54"/>
              <w:rPr>
                <w:sz w:val="18"/>
              </w:rPr>
            </w:pPr>
            <w:r>
              <w:rPr>
                <w:sz w:val="18"/>
              </w:rPr>
              <w:t xml:space="preserve">   D</w:t>
            </w:r>
          </w:p>
        </w:tc>
        <w:tc>
          <w:tcPr>
            <w:tcW w:w="2070" w:type="dxa"/>
            <w:tcBorders>
              <w:top w:val="single" w:sz="6" w:space="0" w:color="000000"/>
              <w:bottom w:val="single" w:sz="6" w:space="0" w:color="000000"/>
            </w:tcBorders>
          </w:tcPr>
          <w:p w14:paraId="45D3FC53" w14:textId="77777777" w:rsidR="00C459FB" w:rsidRDefault="00C459FB" w:rsidP="00E86FFF">
            <w:pPr>
              <w:spacing w:before="100" w:after="54"/>
              <w:rPr>
                <w:sz w:val="18"/>
              </w:rPr>
            </w:pPr>
            <w:r>
              <w:rPr>
                <w:sz w:val="18"/>
              </w:rPr>
              <w:t>Argument is barely discernable and/or very poorly developed.</w:t>
            </w:r>
          </w:p>
        </w:tc>
        <w:tc>
          <w:tcPr>
            <w:tcW w:w="2520" w:type="dxa"/>
            <w:tcBorders>
              <w:top w:val="single" w:sz="6" w:space="0" w:color="000000"/>
              <w:bottom w:val="single" w:sz="6" w:space="0" w:color="000000"/>
            </w:tcBorders>
          </w:tcPr>
          <w:p w14:paraId="7083C7FA" w14:textId="77777777" w:rsidR="00C459FB" w:rsidRDefault="00C459FB" w:rsidP="00E86FFF">
            <w:pPr>
              <w:spacing w:before="100" w:after="54"/>
              <w:rPr>
                <w:sz w:val="18"/>
              </w:rPr>
            </w:pPr>
            <w:r>
              <w:rPr>
                <w:sz w:val="18"/>
              </w:rPr>
              <w:t xml:space="preserve">Very little, or largely irrelevant evidence, and/or substantial errors of fact.  Problems in quoted and paraphrased material ranging from misquotations to passages that arouse suspicions of plagiarism. </w:t>
            </w:r>
          </w:p>
        </w:tc>
        <w:tc>
          <w:tcPr>
            <w:tcW w:w="2070" w:type="dxa"/>
            <w:tcBorders>
              <w:top w:val="single" w:sz="6" w:space="0" w:color="000000"/>
              <w:bottom w:val="single" w:sz="6" w:space="0" w:color="000000"/>
            </w:tcBorders>
          </w:tcPr>
          <w:p w14:paraId="0A9BBB22" w14:textId="77777777" w:rsidR="00C459FB" w:rsidRDefault="00C459FB" w:rsidP="00E86FFF">
            <w:pPr>
              <w:spacing w:before="100" w:after="54"/>
              <w:rPr>
                <w:sz w:val="18"/>
              </w:rPr>
            </w:pPr>
            <w:r>
              <w:rPr>
                <w:sz w:val="18"/>
              </w:rPr>
              <w:t>Writing is confusing, vague, and/or hard to understand.</w:t>
            </w:r>
          </w:p>
        </w:tc>
        <w:tc>
          <w:tcPr>
            <w:tcW w:w="1620" w:type="dxa"/>
            <w:tcBorders>
              <w:top w:val="single" w:sz="6" w:space="0" w:color="000000"/>
              <w:bottom w:val="single" w:sz="6" w:space="0" w:color="000000"/>
            </w:tcBorders>
          </w:tcPr>
          <w:p w14:paraId="1366BDD4" w14:textId="77777777" w:rsidR="00C459FB" w:rsidRDefault="00C459FB" w:rsidP="00E86FFF">
            <w:pPr>
              <w:spacing w:before="100" w:after="54"/>
              <w:rPr>
                <w:sz w:val="18"/>
              </w:rPr>
            </w:pPr>
            <w:r>
              <w:rPr>
                <w:sz w:val="18"/>
              </w:rPr>
              <w:t>Frequent and serious errors which make paper hard to understand or suggest a profound lack of commitment to the assignment.*</w:t>
            </w:r>
          </w:p>
        </w:tc>
      </w:tr>
      <w:tr w:rsidR="00C459FB" w14:paraId="1A0DDF73" w14:textId="77777777" w:rsidTr="00E86FFF">
        <w:trPr>
          <w:cantSplit/>
        </w:trPr>
        <w:tc>
          <w:tcPr>
            <w:tcW w:w="1260" w:type="dxa"/>
            <w:tcBorders>
              <w:bottom w:val="single" w:sz="6" w:space="0" w:color="000000"/>
            </w:tcBorders>
          </w:tcPr>
          <w:p w14:paraId="2C984CF4" w14:textId="77777777" w:rsidR="00C459FB" w:rsidRDefault="00C459FB" w:rsidP="00E86FFF">
            <w:pPr>
              <w:spacing w:before="100" w:after="54"/>
              <w:rPr>
                <w:sz w:val="18"/>
              </w:rPr>
            </w:pPr>
          </w:p>
          <w:p w14:paraId="69CD09D9" w14:textId="77777777" w:rsidR="00C459FB" w:rsidRDefault="00C459FB" w:rsidP="00E86FFF">
            <w:pPr>
              <w:spacing w:before="100" w:after="54"/>
              <w:rPr>
                <w:sz w:val="18"/>
              </w:rPr>
            </w:pPr>
            <w:r>
              <w:rPr>
                <w:sz w:val="18"/>
              </w:rPr>
              <w:t xml:space="preserve">   F</w:t>
            </w:r>
          </w:p>
        </w:tc>
        <w:tc>
          <w:tcPr>
            <w:tcW w:w="2070" w:type="dxa"/>
            <w:tcBorders>
              <w:bottom w:val="single" w:sz="6" w:space="0" w:color="000000"/>
            </w:tcBorders>
          </w:tcPr>
          <w:p w14:paraId="79FFC888" w14:textId="77777777" w:rsidR="00C459FB" w:rsidRDefault="00C459FB" w:rsidP="00E86FFF">
            <w:pPr>
              <w:spacing w:before="100" w:after="54"/>
              <w:rPr>
                <w:sz w:val="18"/>
              </w:rPr>
            </w:pPr>
            <w:r>
              <w:rPr>
                <w:sz w:val="18"/>
              </w:rPr>
              <w:t xml:space="preserve">No discernable argument or paper totally digresses from argument. </w:t>
            </w:r>
          </w:p>
        </w:tc>
        <w:tc>
          <w:tcPr>
            <w:tcW w:w="2520" w:type="dxa"/>
            <w:tcBorders>
              <w:bottom w:val="single" w:sz="6" w:space="0" w:color="000000"/>
            </w:tcBorders>
          </w:tcPr>
          <w:p w14:paraId="64BD0F87" w14:textId="77777777" w:rsidR="00C459FB" w:rsidRDefault="00C459FB" w:rsidP="00E86FFF">
            <w:pPr>
              <w:spacing w:before="100" w:after="54"/>
              <w:rPr>
                <w:sz w:val="18"/>
              </w:rPr>
            </w:pPr>
            <w:r>
              <w:rPr>
                <w:sz w:val="18"/>
              </w:rPr>
              <w:t>Virtually no relevant evidence and/or very serious errors of fact.  Problems in quoted and paraphrased material that indicate a case of either intentional or unintentional plagiarism</w:t>
            </w:r>
          </w:p>
        </w:tc>
        <w:tc>
          <w:tcPr>
            <w:tcW w:w="2070" w:type="dxa"/>
            <w:tcBorders>
              <w:bottom w:val="single" w:sz="6" w:space="0" w:color="000000"/>
            </w:tcBorders>
          </w:tcPr>
          <w:p w14:paraId="44098D47" w14:textId="77777777" w:rsidR="00C459FB" w:rsidRDefault="00C459FB" w:rsidP="00E86FFF">
            <w:pPr>
              <w:spacing w:before="100" w:after="54"/>
              <w:rPr>
                <w:sz w:val="18"/>
              </w:rPr>
            </w:pPr>
            <w:r>
              <w:rPr>
                <w:sz w:val="18"/>
              </w:rPr>
              <w:t>Writing is nearly unintelligible.</w:t>
            </w:r>
          </w:p>
        </w:tc>
        <w:tc>
          <w:tcPr>
            <w:tcW w:w="1620" w:type="dxa"/>
            <w:tcBorders>
              <w:bottom w:val="single" w:sz="6" w:space="0" w:color="000000"/>
            </w:tcBorders>
          </w:tcPr>
          <w:p w14:paraId="3D7DB176" w14:textId="77777777" w:rsidR="00C459FB" w:rsidRDefault="00C459FB" w:rsidP="00E86FFF">
            <w:pPr>
              <w:spacing w:before="100" w:after="54"/>
              <w:rPr>
                <w:sz w:val="18"/>
              </w:rPr>
            </w:pPr>
            <w:r>
              <w:rPr>
                <w:sz w:val="18"/>
              </w:rPr>
              <w:t>Massive errors which render paper nearly unintelligible.*</w:t>
            </w:r>
          </w:p>
        </w:tc>
      </w:tr>
    </w:tbl>
    <w:p w14:paraId="2142019E" w14:textId="77777777" w:rsidR="00C459FB" w:rsidRDefault="00C459FB" w:rsidP="00C459FB">
      <w:pPr>
        <w:rPr>
          <w:sz w:val="18"/>
        </w:rPr>
      </w:pPr>
    </w:p>
    <w:p w14:paraId="7C44BEC5" w14:textId="77777777" w:rsidR="00C459FB" w:rsidRDefault="00C459FB" w:rsidP="00C459FB">
      <w:pPr>
        <w:rPr>
          <w:sz w:val="20"/>
        </w:rPr>
      </w:pPr>
    </w:p>
    <w:p w14:paraId="74578A7E" w14:textId="77777777" w:rsidR="00C459FB" w:rsidRDefault="00C459FB" w:rsidP="00C459FB">
      <w:pPr>
        <w:ind w:firstLine="360"/>
        <w:rPr>
          <w:sz w:val="20"/>
        </w:rPr>
      </w:pPr>
      <w:r>
        <w:rPr>
          <w:sz w:val="20"/>
        </w:rPr>
        <w:t xml:space="preserve">*Note: my response to your paper will not be aimed at correcting your grammar or mechanics, but any paper in which these mistakes are plentiful will not receive a high grade, regardless of the quality of the argument and evidence.  Students who clearly do not understand a grammatical or stylistic principle (passive voice, comma-splice, </w:t>
      </w:r>
      <w:proofErr w:type="spellStart"/>
      <w:r>
        <w:rPr>
          <w:sz w:val="20"/>
        </w:rPr>
        <w:t>etc</w:t>
      </w:r>
      <w:proofErr w:type="spellEnd"/>
      <w:r>
        <w:rPr>
          <w:sz w:val="20"/>
        </w:rPr>
        <w:t>) will not be markedly penalized.  However, once I have explained the principle (in class, in office hours, or in the paper’s annotations), the repetition of these errors in future assignments will dramatically reduce your grade.</w:t>
      </w:r>
    </w:p>
    <w:p w14:paraId="6FF2AA80" w14:textId="77777777" w:rsidR="00B24D12" w:rsidRDefault="00B24D12" w:rsidP="00C459FB">
      <w:pPr>
        <w:ind w:firstLine="360"/>
        <w:rPr>
          <w:sz w:val="20"/>
        </w:rPr>
      </w:pPr>
    </w:p>
    <w:p w14:paraId="7579282F" w14:textId="77777777" w:rsidR="001D6041" w:rsidRDefault="001D6041" w:rsidP="00C459FB">
      <w:pPr>
        <w:ind w:firstLine="360"/>
        <w:rPr>
          <w:sz w:val="20"/>
        </w:rPr>
      </w:pPr>
    </w:p>
    <w:p w14:paraId="4442704E" w14:textId="25202FCE" w:rsidR="00C71CFE" w:rsidRPr="00917C63" w:rsidRDefault="00C71CFE">
      <w:pPr>
        <w:rPr>
          <w:sz w:val="20"/>
        </w:rPr>
      </w:pPr>
    </w:p>
    <w:sectPr w:rsidR="00C71CFE" w:rsidRPr="00917C63" w:rsidSect="00D62A35">
      <w:headerReference w:type="even" r:id="rId11"/>
      <w:headerReference w:type="default" r:id="rId12"/>
      <w:type w:val="continuous"/>
      <w:pgSz w:w="12240" w:h="15840"/>
      <w:pgMar w:top="1440" w:right="1728" w:bottom="1440" w:left="172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5F265" w14:textId="77777777" w:rsidR="00720E20" w:rsidRDefault="00720E20">
      <w:r>
        <w:separator/>
      </w:r>
    </w:p>
  </w:endnote>
  <w:endnote w:type="continuationSeparator" w:id="0">
    <w:p w14:paraId="74A410CC" w14:textId="77777777" w:rsidR="00720E20" w:rsidRDefault="0072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75E5" w14:textId="77777777" w:rsidR="00720E20" w:rsidRDefault="00720E20">
      <w:r>
        <w:separator/>
      </w:r>
    </w:p>
  </w:footnote>
  <w:footnote w:type="continuationSeparator" w:id="0">
    <w:p w14:paraId="34F95706" w14:textId="77777777" w:rsidR="00720E20" w:rsidRDefault="00720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3348" w14:textId="77777777" w:rsidR="00917C63" w:rsidRDefault="00917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B2DEB" w14:textId="77777777" w:rsidR="00917C63" w:rsidRDefault="00917C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678"/>
      <w:docPartObj>
        <w:docPartGallery w:val="Page Numbers (Top of Page)"/>
        <w:docPartUnique/>
      </w:docPartObj>
    </w:sdtPr>
    <w:sdtEndPr/>
    <w:sdtContent>
      <w:p w14:paraId="4E92B3D3" w14:textId="77777777" w:rsidR="00917C63" w:rsidRDefault="00917C63">
        <w:pPr>
          <w:pStyle w:val="Header"/>
          <w:jc w:val="right"/>
        </w:pPr>
        <w:r w:rsidRPr="000E7828">
          <w:rPr>
            <w:sz w:val="20"/>
          </w:rPr>
          <w:t>Blake/</w:t>
        </w:r>
        <w:r>
          <w:rPr>
            <w:sz w:val="20"/>
          </w:rPr>
          <w:t xml:space="preserve"> </w:t>
        </w:r>
        <w:r w:rsidRPr="000E7828">
          <w:rPr>
            <w:sz w:val="20"/>
          </w:rPr>
          <w:fldChar w:fldCharType="begin"/>
        </w:r>
        <w:r w:rsidRPr="000E7828">
          <w:rPr>
            <w:sz w:val="20"/>
          </w:rPr>
          <w:instrText xml:space="preserve"> PAGE   \* MERGEFORMAT </w:instrText>
        </w:r>
        <w:r w:rsidRPr="000E7828">
          <w:rPr>
            <w:sz w:val="20"/>
          </w:rPr>
          <w:fldChar w:fldCharType="separate"/>
        </w:r>
        <w:r w:rsidR="00102AFA">
          <w:rPr>
            <w:noProof/>
            <w:sz w:val="20"/>
          </w:rPr>
          <w:t>4</w:t>
        </w:r>
        <w:r w:rsidRPr="000E7828">
          <w:rPr>
            <w:sz w:val="20"/>
          </w:rPr>
          <w:fldChar w:fldCharType="end"/>
        </w:r>
      </w:p>
    </w:sdtContent>
  </w:sdt>
  <w:p w14:paraId="6D09827C" w14:textId="77777777" w:rsidR="00917C63" w:rsidRDefault="00917C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E91"/>
    <w:multiLevelType w:val="hybridMultilevel"/>
    <w:tmpl w:val="012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54FC"/>
    <w:multiLevelType w:val="multilevel"/>
    <w:tmpl w:val="00A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F2D0A"/>
    <w:multiLevelType w:val="hybridMultilevel"/>
    <w:tmpl w:val="CDA6FA78"/>
    <w:lvl w:ilvl="0" w:tplc="6F7C63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E25C9"/>
    <w:multiLevelType w:val="multilevel"/>
    <w:tmpl w:val="ECD2E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D351B8"/>
    <w:multiLevelType w:val="hybridMultilevel"/>
    <w:tmpl w:val="49021F52"/>
    <w:lvl w:ilvl="0" w:tplc="C08E95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72275"/>
    <w:multiLevelType w:val="hybridMultilevel"/>
    <w:tmpl w:val="ECD2E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6E0112"/>
    <w:multiLevelType w:val="multilevel"/>
    <w:tmpl w:val="59C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DE38C9"/>
    <w:multiLevelType w:val="hybridMultilevel"/>
    <w:tmpl w:val="052A6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265F00"/>
    <w:multiLevelType w:val="multilevel"/>
    <w:tmpl w:val="917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5279B"/>
    <w:multiLevelType w:val="singleLevel"/>
    <w:tmpl w:val="04090011"/>
    <w:lvl w:ilvl="0">
      <w:start w:val="1"/>
      <w:numFmt w:val="decimal"/>
      <w:lvlText w:val="%1)"/>
      <w:lvlJc w:val="left"/>
      <w:pPr>
        <w:tabs>
          <w:tab w:val="num" w:pos="720"/>
        </w:tabs>
        <w:ind w:left="720" w:hanging="360"/>
      </w:pPr>
      <w:rPr>
        <w:rFonts w:hint="default"/>
      </w:rPr>
    </w:lvl>
  </w:abstractNum>
  <w:abstractNum w:abstractNumId="10">
    <w:nsid w:val="61913EB7"/>
    <w:multiLevelType w:val="hybridMultilevel"/>
    <w:tmpl w:val="43A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B7E79"/>
    <w:multiLevelType w:val="hybridMultilevel"/>
    <w:tmpl w:val="77A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C02B9"/>
    <w:multiLevelType w:val="hybridMultilevel"/>
    <w:tmpl w:val="3E0A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1"/>
  </w:num>
  <w:num w:numId="5">
    <w:abstractNumId w:val="6"/>
  </w:num>
  <w:num w:numId="6">
    <w:abstractNumId w:val="1"/>
  </w:num>
  <w:num w:numId="7">
    <w:abstractNumId w:val="2"/>
  </w:num>
  <w:num w:numId="8">
    <w:abstractNumId w:val="4"/>
  </w:num>
  <w:num w:numId="9">
    <w:abstractNumId w:val="5"/>
  </w:num>
  <w:num w:numId="10">
    <w:abstractNumId w:val="10"/>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FB"/>
    <w:rsid w:val="00006C5F"/>
    <w:rsid w:val="0003536B"/>
    <w:rsid w:val="000421F8"/>
    <w:rsid w:val="000519A9"/>
    <w:rsid w:val="00056423"/>
    <w:rsid w:val="000732FC"/>
    <w:rsid w:val="000A1F64"/>
    <w:rsid w:val="000E0E62"/>
    <w:rsid w:val="000F601D"/>
    <w:rsid w:val="00102AFA"/>
    <w:rsid w:val="001167E7"/>
    <w:rsid w:val="00123B1C"/>
    <w:rsid w:val="0012723D"/>
    <w:rsid w:val="00127FB8"/>
    <w:rsid w:val="00154AA0"/>
    <w:rsid w:val="0015793B"/>
    <w:rsid w:val="00166D9A"/>
    <w:rsid w:val="00191835"/>
    <w:rsid w:val="001A4AE3"/>
    <w:rsid w:val="001A507D"/>
    <w:rsid w:val="001C6423"/>
    <w:rsid w:val="001D41B3"/>
    <w:rsid w:val="001D6041"/>
    <w:rsid w:val="001F57CC"/>
    <w:rsid w:val="00226B4C"/>
    <w:rsid w:val="00241043"/>
    <w:rsid w:val="0024321F"/>
    <w:rsid w:val="0026124A"/>
    <w:rsid w:val="00262850"/>
    <w:rsid w:val="00264C28"/>
    <w:rsid w:val="00292ED3"/>
    <w:rsid w:val="002D3530"/>
    <w:rsid w:val="003105C7"/>
    <w:rsid w:val="00342916"/>
    <w:rsid w:val="00346ED5"/>
    <w:rsid w:val="00361A8C"/>
    <w:rsid w:val="003656CD"/>
    <w:rsid w:val="00381B84"/>
    <w:rsid w:val="00384A52"/>
    <w:rsid w:val="0039065A"/>
    <w:rsid w:val="003C21A0"/>
    <w:rsid w:val="003C3D88"/>
    <w:rsid w:val="004016D1"/>
    <w:rsid w:val="00425392"/>
    <w:rsid w:val="00443E9F"/>
    <w:rsid w:val="00462969"/>
    <w:rsid w:val="004851F3"/>
    <w:rsid w:val="00496D70"/>
    <w:rsid w:val="004977C7"/>
    <w:rsid w:val="004D7365"/>
    <w:rsid w:val="004D7828"/>
    <w:rsid w:val="004E717C"/>
    <w:rsid w:val="004F6A31"/>
    <w:rsid w:val="00500F42"/>
    <w:rsid w:val="00524E13"/>
    <w:rsid w:val="005270E5"/>
    <w:rsid w:val="00553021"/>
    <w:rsid w:val="005552F7"/>
    <w:rsid w:val="00560E70"/>
    <w:rsid w:val="005C722C"/>
    <w:rsid w:val="005E380E"/>
    <w:rsid w:val="005E4AB7"/>
    <w:rsid w:val="005E6334"/>
    <w:rsid w:val="00634E6D"/>
    <w:rsid w:val="006456C5"/>
    <w:rsid w:val="006819F4"/>
    <w:rsid w:val="00694EF5"/>
    <w:rsid w:val="006B676C"/>
    <w:rsid w:val="006C7537"/>
    <w:rsid w:val="00701926"/>
    <w:rsid w:val="00713001"/>
    <w:rsid w:val="00720E20"/>
    <w:rsid w:val="007700B3"/>
    <w:rsid w:val="00777BB5"/>
    <w:rsid w:val="007A11AE"/>
    <w:rsid w:val="007B689F"/>
    <w:rsid w:val="007E13FC"/>
    <w:rsid w:val="007E509B"/>
    <w:rsid w:val="007E5EEF"/>
    <w:rsid w:val="008224D7"/>
    <w:rsid w:val="00832AA5"/>
    <w:rsid w:val="0086178B"/>
    <w:rsid w:val="0086333F"/>
    <w:rsid w:val="00895275"/>
    <w:rsid w:val="008A394A"/>
    <w:rsid w:val="008A5950"/>
    <w:rsid w:val="008C0506"/>
    <w:rsid w:val="008E308E"/>
    <w:rsid w:val="00903CF9"/>
    <w:rsid w:val="00917C63"/>
    <w:rsid w:val="0095320A"/>
    <w:rsid w:val="0095554A"/>
    <w:rsid w:val="00970C19"/>
    <w:rsid w:val="00976F86"/>
    <w:rsid w:val="009C71B7"/>
    <w:rsid w:val="009D24B3"/>
    <w:rsid w:val="009D3217"/>
    <w:rsid w:val="009E08B4"/>
    <w:rsid w:val="009E5981"/>
    <w:rsid w:val="009F0FAD"/>
    <w:rsid w:val="009F5780"/>
    <w:rsid w:val="00A16581"/>
    <w:rsid w:val="00A355BD"/>
    <w:rsid w:val="00A450CD"/>
    <w:rsid w:val="00A518B4"/>
    <w:rsid w:val="00A52995"/>
    <w:rsid w:val="00AF6171"/>
    <w:rsid w:val="00AF76CD"/>
    <w:rsid w:val="00B02801"/>
    <w:rsid w:val="00B24D12"/>
    <w:rsid w:val="00B33626"/>
    <w:rsid w:val="00B3550E"/>
    <w:rsid w:val="00B35E4F"/>
    <w:rsid w:val="00BA73FE"/>
    <w:rsid w:val="00BB2A54"/>
    <w:rsid w:val="00BD69C2"/>
    <w:rsid w:val="00C13A38"/>
    <w:rsid w:val="00C13EDA"/>
    <w:rsid w:val="00C31989"/>
    <w:rsid w:val="00C36EAE"/>
    <w:rsid w:val="00C459FB"/>
    <w:rsid w:val="00C71CFE"/>
    <w:rsid w:val="00C805CC"/>
    <w:rsid w:val="00C82701"/>
    <w:rsid w:val="00CB2CC8"/>
    <w:rsid w:val="00CB6E3B"/>
    <w:rsid w:val="00CC02E0"/>
    <w:rsid w:val="00CC0EF4"/>
    <w:rsid w:val="00CE0849"/>
    <w:rsid w:val="00CE72D2"/>
    <w:rsid w:val="00CF23F9"/>
    <w:rsid w:val="00D0633E"/>
    <w:rsid w:val="00D41BFA"/>
    <w:rsid w:val="00D43044"/>
    <w:rsid w:val="00D56BFA"/>
    <w:rsid w:val="00D62A35"/>
    <w:rsid w:val="00D903A2"/>
    <w:rsid w:val="00DB414B"/>
    <w:rsid w:val="00DE2AC9"/>
    <w:rsid w:val="00E173AF"/>
    <w:rsid w:val="00E60B68"/>
    <w:rsid w:val="00E83526"/>
    <w:rsid w:val="00E86FFF"/>
    <w:rsid w:val="00EA4D15"/>
    <w:rsid w:val="00EF66B9"/>
    <w:rsid w:val="00F139B6"/>
    <w:rsid w:val="00F30D50"/>
    <w:rsid w:val="00F4423C"/>
    <w:rsid w:val="00FB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F9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FB"/>
    <w:rPr>
      <w:rFonts w:ascii="Times New Roman" w:eastAsia="Times New Roman" w:hAnsi="Times New Roman" w:cs="Times New Roman"/>
      <w:szCs w:val="20"/>
    </w:rPr>
  </w:style>
  <w:style w:type="paragraph" w:styleId="Heading1">
    <w:name w:val="heading 1"/>
    <w:basedOn w:val="Normal"/>
    <w:next w:val="Normal"/>
    <w:link w:val="Heading1Char"/>
    <w:qFormat/>
    <w:rsid w:val="00C459FB"/>
    <w:pPr>
      <w:keepNext/>
      <w:outlineLvl w:val="0"/>
    </w:pPr>
    <w:rPr>
      <w:b/>
    </w:rPr>
  </w:style>
  <w:style w:type="paragraph" w:styleId="Heading2">
    <w:name w:val="heading 2"/>
    <w:basedOn w:val="Normal"/>
    <w:next w:val="Normal"/>
    <w:link w:val="Heading2Char"/>
    <w:qFormat/>
    <w:rsid w:val="00C459FB"/>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9FB"/>
    <w:rPr>
      <w:rFonts w:ascii="Times New Roman" w:eastAsia="Times New Roman" w:hAnsi="Times New Roman" w:cs="Times New Roman"/>
      <w:b/>
      <w:szCs w:val="20"/>
    </w:rPr>
  </w:style>
  <w:style w:type="character" w:customStyle="1" w:styleId="Heading2Char">
    <w:name w:val="Heading 2 Char"/>
    <w:basedOn w:val="DefaultParagraphFont"/>
    <w:link w:val="Heading2"/>
    <w:rsid w:val="00C459FB"/>
    <w:rPr>
      <w:rFonts w:ascii="Times New Roman" w:eastAsia="Times New Roman" w:hAnsi="Times New Roman" w:cs="Times New Roman"/>
      <w:b/>
      <w:sz w:val="32"/>
      <w:szCs w:val="20"/>
    </w:rPr>
  </w:style>
  <w:style w:type="character" w:styleId="Hyperlink">
    <w:name w:val="Hyperlink"/>
    <w:basedOn w:val="DefaultParagraphFont"/>
    <w:rsid w:val="00C459FB"/>
    <w:rPr>
      <w:color w:val="0000FF"/>
      <w:u w:val="single"/>
    </w:rPr>
  </w:style>
  <w:style w:type="paragraph" w:styleId="Header">
    <w:name w:val="header"/>
    <w:basedOn w:val="Normal"/>
    <w:link w:val="HeaderChar"/>
    <w:uiPriority w:val="99"/>
    <w:rsid w:val="00C459FB"/>
    <w:pPr>
      <w:tabs>
        <w:tab w:val="center" w:pos="4320"/>
        <w:tab w:val="right" w:pos="8640"/>
      </w:tabs>
    </w:pPr>
  </w:style>
  <w:style w:type="character" w:customStyle="1" w:styleId="HeaderChar">
    <w:name w:val="Header Char"/>
    <w:basedOn w:val="DefaultParagraphFont"/>
    <w:link w:val="Header"/>
    <w:uiPriority w:val="99"/>
    <w:rsid w:val="00C459FB"/>
    <w:rPr>
      <w:rFonts w:ascii="Times New Roman" w:eastAsia="Times New Roman" w:hAnsi="Times New Roman" w:cs="Times New Roman"/>
      <w:szCs w:val="20"/>
    </w:rPr>
  </w:style>
  <w:style w:type="character" w:styleId="PageNumber">
    <w:name w:val="page number"/>
    <w:basedOn w:val="DefaultParagraphFont"/>
    <w:rsid w:val="00C459FB"/>
  </w:style>
  <w:style w:type="paragraph" w:styleId="ListParagraph">
    <w:name w:val="List Paragraph"/>
    <w:basedOn w:val="Normal"/>
    <w:uiPriority w:val="34"/>
    <w:qFormat/>
    <w:rsid w:val="00C459FB"/>
    <w:pPr>
      <w:ind w:left="720"/>
    </w:pPr>
  </w:style>
  <w:style w:type="character" w:styleId="FollowedHyperlink">
    <w:name w:val="FollowedHyperlink"/>
    <w:basedOn w:val="DefaultParagraphFont"/>
    <w:uiPriority w:val="99"/>
    <w:semiHidden/>
    <w:unhideWhenUsed/>
    <w:rsid w:val="00E86FFF"/>
    <w:rPr>
      <w:color w:val="800080" w:themeColor="followedHyperlink"/>
      <w:u w:val="single"/>
    </w:rPr>
  </w:style>
  <w:style w:type="character" w:customStyle="1" w:styleId="apple-converted-space">
    <w:name w:val="apple-converted-space"/>
    <w:basedOn w:val="DefaultParagraphFont"/>
    <w:rsid w:val="009D3217"/>
  </w:style>
  <w:style w:type="character" w:customStyle="1" w:styleId="tocnumber">
    <w:name w:val="tocnumber"/>
    <w:basedOn w:val="DefaultParagraphFont"/>
    <w:rsid w:val="007700B3"/>
  </w:style>
  <w:style w:type="character" w:customStyle="1" w:styleId="toctext">
    <w:name w:val="toctext"/>
    <w:basedOn w:val="DefaultParagraphFont"/>
    <w:rsid w:val="007700B3"/>
  </w:style>
  <w:style w:type="paragraph" w:styleId="NoSpacing">
    <w:name w:val="No Spacing"/>
    <w:uiPriority w:val="1"/>
    <w:qFormat/>
    <w:rsid w:val="00D56BFA"/>
    <w:rPr>
      <w:rFonts w:eastAsiaTheme="minorHAnsi"/>
      <w:sz w:val="22"/>
      <w:szCs w:val="22"/>
    </w:rPr>
  </w:style>
  <w:style w:type="character" w:styleId="Strong">
    <w:name w:val="Strong"/>
    <w:basedOn w:val="DefaultParagraphFont"/>
    <w:uiPriority w:val="22"/>
    <w:qFormat/>
    <w:rsid w:val="00102A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FB"/>
    <w:rPr>
      <w:rFonts w:ascii="Times New Roman" w:eastAsia="Times New Roman" w:hAnsi="Times New Roman" w:cs="Times New Roman"/>
      <w:szCs w:val="20"/>
    </w:rPr>
  </w:style>
  <w:style w:type="paragraph" w:styleId="Heading1">
    <w:name w:val="heading 1"/>
    <w:basedOn w:val="Normal"/>
    <w:next w:val="Normal"/>
    <w:link w:val="Heading1Char"/>
    <w:qFormat/>
    <w:rsid w:val="00C459FB"/>
    <w:pPr>
      <w:keepNext/>
      <w:outlineLvl w:val="0"/>
    </w:pPr>
    <w:rPr>
      <w:b/>
    </w:rPr>
  </w:style>
  <w:style w:type="paragraph" w:styleId="Heading2">
    <w:name w:val="heading 2"/>
    <w:basedOn w:val="Normal"/>
    <w:next w:val="Normal"/>
    <w:link w:val="Heading2Char"/>
    <w:qFormat/>
    <w:rsid w:val="00C459FB"/>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9FB"/>
    <w:rPr>
      <w:rFonts w:ascii="Times New Roman" w:eastAsia="Times New Roman" w:hAnsi="Times New Roman" w:cs="Times New Roman"/>
      <w:b/>
      <w:szCs w:val="20"/>
    </w:rPr>
  </w:style>
  <w:style w:type="character" w:customStyle="1" w:styleId="Heading2Char">
    <w:name w:val="Heading 2 Char"/>
    <w:basedOn w:val="DefaultParagraphFont"/>
    <w:link w:val="Heading2"/>
    <w:rsid w:val="00C459FB"/>
    <w:rPr>
      <w:rFonts w:ascii="Times New Roman" w:eastAsia="Times New Roman" w:hAnsi="Times New Roman" w:cs="Times New Roman"/>
      <w:b/>
      <w:sz w:val="32"/>
      <w:szCs w:val="20"/>
    </w:rPr>
  </w:style>
  <w:style w:type="character" w:styleId="Hyperlink">
    <w:name w:val="Hyperlink"/>
    <w:basedOn w:val="DefaultParagraphFont"/>
    <w:rsid w:val="00C459FB"/>
    <w:rPr>
      <w:color w:val="0000FF"/>
      <w:u w:val="single"/>
    </w:rPr>
  </w:style>
  <w:style w:type="paragraph" w:styleId="Header">
    <w:name w:val="header"/>
    <w:basedOn w:val="Normal"/>
    <w:link w:val="HeaderChar"/>
    <w:uiPriority w:val="99"/>
    <w:rsid w:val="00C459FB"/>
    <w:pPr>
      <w:tabs>
        <w:tab w:val="center" w:pos="4320"/>
        <w:tab w:val="right" w:pos="8640"/>
      </w:tabs>
    </w:pPr>
  </w:style>
  <w:style w:type="character" w:customStyle="1" w:styleId="HeaderChar">
    <w:name w:val="Header Char"/>
    <w:basedOn w:val="DefaultParagraphFont"/>
    <w:link w:val="Header"/>
    <w:uiPriority w:val="99"/>
    <w:rsid w:val="00C459FB"/>
    <w:rPr>
      <w:rFonts w:ascii="Times New Roman" w:eastAsia="Times New Roman" w:hAnsi="Times New Roman" w:cs="Times New Roman"/>
      <w:szCs w:val="20"/>
    </w:rPr>
  </w:style>
  <w:style w:type="character" w:styleId="PageNumber">
    <w:name w:val="page number"/>
    <w:basedOn w:val="DefaultParagraphFont"/>
    <w:rsid w:val="00C459FB"/>
  </w:style>
  <w:style w:type="paragraph" w:styleId="ListParagraph">
    <w:name w:val="List Paragraph"/>
    <w:basedOn w:val="Normal"/>
    <w:uiPriority w:val="34"/>
    <w:qFormat/>
    <w:rsid w:val="00C459FB"/>
    <w:pPr>
      <w:ind w:left="720"/>
    </w:pPr>
  </w:style>
  <w:style w:type="character" w:styleId="FollowedHyperlink">
    <w:name w:val="FollowedHyperlink"/>
    <w:basedOn w:val="DefaultParagraphFont"/>
    <w:uiPriority w:val="99"/>
    <w:semiHidden/>
    <w:unhideWhenUsed/>
    <w:rsid w:val="00E86FFF"/>
    <w:rPr>
      <w:color w:val="800080" w:themeColor="followedHyperlink"/>
      <w:u w:val="single"/>
    </w:rPr>
  </w:style>
  <w:style w:type="character" w:customStyle="1" w:styleId="apple-converted-space">
    <w:name w:val="apple-converted-space"/>
    <w:basedOn w:val="DefaultParagraphFont"/>
    <w:rsid w:val="009D3217"/>
  </w:style>
  <w:style w:type="character" w:customStyle="1" w:styleId="tocnumber">
    <w:name w:val="tocnumber"/>
    <w:basedOn w:val="DefaultParagraphFont"/>
    <w:rsid w:val="007700B3"/>
  </w:style>
  <w:style w:type="character" w:customStyle="1" w:styleId="toctext">
    <w:name w:val="toctext"/>
    <w:basedOn w:val="DefaultParagraphFont"/>
    <w:rsid w:val="007700B3"/>
  </w:style>
  <w:style w:type="paragraph" w:styleId="NoSpacing">
    <w:name w:val="No Spacing"/>
    <w:uiPriority w:val="1"/>
    <w:qFormat/>
    <w:rsid w:val="00D56BFA"/>
    <w:rPr>
      <w:rFonts w:eastAsiaTheme="minorHAnsi"/>
      <w:sz w:val="22"/>
      <w:szCs w:val="22"/>
    </w:rPr>
  </w:style>
  <w:style w:type="character" w:styleId="Strong">
    <w:name w:val="Strong"/>
    <w:basedOn w:val="DefaultParagraphFont"/>
    <w:uiPriority w:val="22"/>
    <w:qFormat/>
    <w:rsid w:val="00102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132">
      <w:bodyDiv w:val="1"/>
      <w:marLeft w:val="0"/>
      <w:marRight w:val="0"/>
      <w:marTop w:val="0"/>
      <w:marBottom w:val="0"/>
      <w:divBdr>
        <w:top w:val="none" w:sz="0" w:space="0" w:color="auto"/>
        <w:left w:val="none" w:sz="0" w:space="0" w:color="auto"/>
        <w:bottom w:val="none" w:sz="0" w:space="0" w:color="auto"/>
        <w:right w:val="none" w:sz="0" w:space="0" w:color="auto"/>
      </w:divBdr>
    </w:div>
    <w:div w:id="170141510">
      <w:bodyDiv w:val="1"/>
      <w:marLeft w:val="0"/>
      <w:marRight w:val="0"/>
      <w:marTop w:val="0"/>
      <w:marBottom w:val="0"/>
      <w:divBdr>
        <w:top w:val="none" w:sz="0" w:space="0" w:color="auto"/>
        <w:left w:val="none" w:sz="0" w:space="0" w:color="auto"/>
        <w:bottom w:val="none" w:sz="0" w:space="0" w:color="auto"/>
        <w:right w:val="none" w:sz="0" w:space="0" w:color="auto"/>
      </w:divBdr>
    </w:div>
    <w:div w:id="425273215">
      <w:bodyDiv w:val="1"/>
      <w:marLeft w:val="0"/>
      <w:marRight w:val="0"/>
      <w:marTop w:val="0"/>
      <w:marBottom w:val="0"/>
      <w:divBdr>
        <w:top w:val="none" w:sz="0" w:space="0" w:color="auto"/>
        <w:left w:val="none" w:sz="0" w:space="0" w:color="auto"/>
        <w:bottom w:val="none" w:sz="0" w:space="0" w:color="auto"/>
        <w:right w:val="none" w:sz="0" w:space="0" w:color="auto"/>
      </w:divBdr>
    </w:div>
    <w:div w:id="611286776">
      <w:bodyDiv w:val="1"/>
      <w:marLeft w:val="0"/>
      <w:marRight w:val="0"/>
      <w:marTop w:val="0"/>
      <w:marBottom w:val="0"/>
      <w:divBdr>
        <w:top w:val="none" w:sz="0" w:space="0" w:color="auto"/>
        <w:left w:val="none" w:sz="0" w:space="0" w:color="auto"/>
        <w:bottom w:val="none" w:sz="0" w:space="0" w:color="auto"/>
        <w:right w:val="none" w:sz="0" w:space="0" w:color="auto"/>
      </w:divBdr>
    </w:div>
    <w:div w:id="1027826074">
      <w:bodyDiv w:val="1"/>
      <w:marLeft w:val="0"/>
      <w:marRight w:val="0"/>
      <w:marTop w:val="0"/>
      <w:marBottom w:val="0"/>
      <w:divBdr>
        <w:top w:val="none" w:sz="0" w:space="0" w:color="auto"/>
        <w:left w:val="none" w:sz="0" w:space="0" w:color="auto"/>
        <w:bottom w:val="none" w:sz="0" w:space="0" w:color="auto"/>
        <w:right w:val="none" w:sz="0" w:space="0" w:color="auto"/>
      </w:divBdr>
    </w:div>
    <w:div w:id="1066218838">
      <w:bodyDiv w:val="1"/>
      <w:marLeft w:val="0"/>
      <w:marRight w:val="0"/>
      <w:marTop w:val="0"/>
      <w:marBottom w:val="0"/>
      <w:divBdr>
        <w:top w:val="none" w:sz="0" w:space="0" w:color="auto"/>
        <w:left w:val="none" w:sz="0" w:space="0" w:color="auto"/>
        <w:bottom w:val="none" w:sz="0" w:space="0" w:color="auto"/>
        <w:right w:val="none" w:sz="0" w:space="0" w:color="auto"/>
      </w:divBdr>
    </w:div>
    <w:div w:id="1407994953">
      <w:bodyDiv w:val="1"/>
      <w:marLeft w:val="0"/>
      <w:marRight w:val="0"/>
      <w:marTop w:val="0"/>
      <w:marBottom w:val="0"/>
      <w:divBdr>
        <w:top w:val="none" w:sz="0" w:space="0" w:color="auto"/>
        <w:left w:val="none" w:sz="0" w:space="0" w:color="auto"/>
        <w:bottom w:val="none" w:sz="0" w:space="0" w:color="auto"/>
        <w:right w:val="none" w:sz="0" w:space="0" w:color="auto"/>
      </w:divBdr>
    </w:div>
    <w:div w:id="1971200278">
      <w:bodyDiv w:val="1"/>
      <w:marLeft w:val="0"/>
      <w:marRight w:val="0"/>
      <w:marTop w:val="0"/>
      <w:marBottom w:val="0"/>
      <w:divBdr>
        <w:top w:val="none" w:sz="0" w:space="0" w:color="auto"/>
        <w:left w:val="none" w:sz="0" w:space="0" w:color="auto"/>
        <w:bottom w:val="none" w:sz="0" w:space="0" w:color="auto"/>
        <w:right w:val="none" w:sz="0" w:space="0" w:color="auto"/>
      </w:divBdr>
    </w:div>
    <w:div w:id="209107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nj.edu/~academic/policy/integrity.html" TargetMode="External"/><Relationship Id="rId9" Type="http://schemas.openxmlformats.org/officeDocument/2006/relationships/hyperlink" Target="http://www.tcnj.edu/~tutoring/humanities/writing.html" TargetMode="External"/><Relationship Id="rId10" Type="http://schemas.openxmlformats.org/officeDocument/2006/relationships/hyperlink" Target="mailto:blake@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2913</Words>
  <Characters>16605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Blake</dc:creator>
  <cp:lastModifiedBy>David Blake</cp:lastModifiedBy>
  <cp:revision>3</cp:revision>
  <cp:lastPrinted>2015-01-06T18:57:00Z</cp:lastPrinted>
  <dcterms:created xsi:type="dcterms:W3CDTF">2015-03-24T16:48:00Z</dcterms:created>
  <dcterms:modified xsi:type="dcterms:W3CDTF">2015-03-24T16:50:00Z</dcterms:modified>
</cp:coreProperties>
</file>